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5CCC1" w14:textId="77777777" w:rsidR="007617CF" w:rsidRDefault="007617CF" w:rsidP="00D64168">
      <w:pPr>
        <w:snapToGrid w:val="0"/>
        <w:jc w:val="right"/>
      </w:pPr>
    </w:p>
    <w:p w14:paraId="1835352D" w14:textId="77777777" w:rsidR="00C57003" w:rsidRPr="00C57003" w:rsidRDefault="00C57003" w:rsidP="00C57003">
      <w:pPr>
        <w:snapToGrid w:val="0"/>
        <w:jc w:val="center"/>
        <w:rPr>
          <w:b/>
        </w:rPr>
      </w:pPr>
      <w:r w:rsidRPr="00C57003">
        <w:t>Limbažos</w:t>
      </w:r>
    </w:p>
    <w:p w14:paraId="4C45CB66" w14:textId="77777777" w:rsidR="00C57003" w:rsidRPr="00C57003" w:rsidRDefault="00C57003" w:rsidP="00C57003">
      <w:pPr>
        <w:snapToGrid w:val="0"/>
        <w:rPr>
          <w:b/>
        </w:rPr>
      </w:pPr>
    </w:p>
    <w:p w14:paraId="2C98EFE8" w14:textId="77777777" w:rsidR="00C57003" w:rsidRPr="00C57003" w:rsidRDefault="00C57003" w:rsidP="00C57003">
      <w:pPr>
        <w:jc w:val="center"/>
        <w:rPr>
          <w:b/>
          <w:bCs/>
          <w:lang w:eastAsia="en-US"/>
        </w:rPr>
      </w:pPr>
      <w:r w:rsidRPr="00C57003">
        <w:rPr>
          <w:b/>
          <w:bCs/>
          <w:lang w:eastAsia="en-US"/>
        </w:rPr>
        <w:t>PASKAIDROJUMA RAKSTS</w:t>
      </w:r>
    </w:p>
    <w:p w14:paraId="023867AF" w14:textId="54BAD9B0" w:rsidR="00C57003" w:rsidRPr="00C57003" w:rsidRDefault="00C57003" w:rsidP="00C57003">
      <w:pPr>
        <w:jc w:val="center"/>
        <w:rPr>
          <w:b/>
          <w:bCs/>
          <w:lang w:eastAsia="en-US"/>
        </w:rPr>
      </w:pPr>
      <w:r w:rsidRPr="00C57003">
        <w:rPr>
          <w:b/>
          <w:bCs/>
        </w:rPr>
        <w:t xml:space="preserve">Limbažu novada pašvaldības 2021.gada </w:t>
      </w:r>
      <w:r w:rsidR="00A51F2E">
        <w:rPr>
          <w:b/>
          <w:bCs/>
        </w:rPr>
        <w:t>27</w:t>
      </w:r>
      <w:r w:rsidRPr="00C57003">
        <w:rPr>
          <w:b/>
          <w:bCs/>
        </w:rPr>
        <w:t xml:space="preserve">.maija saistošajiem noteikumiem Nr. </w:t>
      </w:r>
      <w:r w:rsidR="00A51F2E">
        <w:rPr>
          <w:b/>
          <w:bCs/>
        </w:rPr>
        <w:t>11</w:t>
      </w:r>
      <w:bookmarkStart w:id="0" w:name="_GoBack"/>
      <w:bookmarkEnd w:id="0"/>
      <w:r w:rsidRPr="00C57003">
        <w:rPr>
          <w:b/>
          <w:bCs/>
        </w:rPr>
        <w:t xml:space="preserve"> „Grozījumi Limbažu novada pašvaldības 2011. gada 29. septembra saistošajos noteikumos Nr. 27 „Atkritumu apsaimniekošanas noteikumi Limbažu novadā””</w:t>
      </w:r>
    </w:p>
    <w:p w14:paraId="48EE543A" w14:textId="77777777" w:rsidR="00C57003" w:rsidRPr="00C57003" w:rsidRDefault="00C57003" w:rsidP="00C57003">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C57003" w:rsidRPr="00C57003" w14:paraId="3CE060CC"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A2222FD" w14:textId="77777777" w:rsidR="00C57003" w:rsidRPr="00C57003" w:rsidRDefault="00C57003" w:rsidP="00C57003">
            <w:pPr>
              <w:contextualSpacing/>
              <w:jc w:val="center"/>
              <w:rPr>
                <w:rFonts w:eastAsia="Calibri"/>
                <w:b/>
              </w:rPr>
            </w:pPr>
            <w:r w:rsidRPr="00C57003">
              <w:rPr>
                <w:rFonts w:eastAsia="Calibri"/>
                <w:b/>
              </w:rPr>
              <w:t xml:space="preserve">Paskaidrojuma </w:t>
            </w:r>
          </w:p>
          <w:p w14:paraId="0AA546AA" w14:textId="77777777" w:rsidR="00C57003" w:rsidRPr="00C57003" w:rsidRDefault="00C57003" w:rsidP="00C57003">
            <w:pPr>
              <w:contextualSpacing/>
              <w:jc w:val="center"/>
              <w:rPr>
                <w:rFonts w:eastAsia="Calibri"/>
                <w:b/>
              </w:rPr>
            </w:pPr>
            <w:r w:rsidRPr="00C57003">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19499E4" w14:textId="77777777" w:rsidR="00C57003" w:rsidRPr="00C57003" w:rsidRDefault="00C57003" w:rsidP="00C57003">
            <w:pPr>
              <w:contextualSpacing/>
              <w:jc w:val="center"/>
              <w:rPr>
                <w:rFonts w:eastAsia="Calibri"/>
                <w:b/>
              </w:rPr>
            </w:pPr>
            <w:r w:rsidRPr="00C57003">
              <w:rPr>
                <w:rFonts w:eastAsia="Calibri"/>
                <w:b/>
              </w:rPr>
              <w:t>Norādāmā informācija</w:t>
            </w:r>
          </w:p>
        </w:tc>
      </w:tr>
      <w:tr w:rsidR="00C57003" w:rsidRPr="00C57003" w14:paraId="6504D640" w14:textId="77777777" w:rsidTr="009C145B">
        <w:trPr>
          <w:trHeight w:val="1186"/>
          <w:jc w:val="center"/>
        </w:trPr>
        <w:tc>
          <w:tcPr>
            <w:tcW w:w="2689" w:type="dxa"/>
            <w:tcBorders>
              <w:top w:val="single" w:sz="4" w:space="0" w:color="auto"/>
              <w:left w:val="single" w:sz="4" w:space="0" w:color="auto"/>
              <w:bottom w:val="single" w:sz="4" w:space="0" w:color="auto"/>
              <w:right w:val="single" w:sz="4" w:space="0" w:color="auto"/>
            </w:tcBorders>
            <w:hideMark/>
          </w:tcPr>
          <w:p w14:paraId="06EE48F5" w14:textId="77777777" w:rsidR="00C57003" w:rsidRPr="00C57003" w:rsidRDefault="00C57003" w:rsidP="00C57003">
            <w:pPr>
              <w:contextualSpacing/>
              <w:rPr>
                <w:rFonts w:eastAsia="Calibri"/>
                <w:b/>
                <w:bCs/>
              </w:rPr>
            </w:pPr>
            <w:r w:rsidRPr="00C57003">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hideMark/>
          </w:tcPr>
          <w:p w14:paraId="7E718B95" w14:textId="77777777" w:rsidR="00C57003" w:rsidRPr="00C57003" w:rsidRDefault="00C57003" w:rsidP="00C57003">
            <w:pPr>
              <w:jc w:val="both"/>
              <w:rPr>
                <w:lang w:eastAsia="en-US"/>
              </w:rPr>
            </w:pPr>
            <w:r w:rsidRPr="00C57003">
              <w:rPr>
                <w:lang w:eastAsia="en-US"/>
              </w:rPr>
              <w:t xml:space="preserve">Patlaban spēkā esošie saistošie noteikumi neparedz sauso lapu un zaru likvidēšanu savos īpašumos, tos sadedzinot. Tā kā iedzīvotāji to tāpat nereti dara, nepieciešams noteikt kārtību un  laika periodu, kurā to drīkst darīt.  </w:t>
            </w:r>
          </w:p>
        </w:tc>
      </w:tr>
      <w:tr w:rsidR="00C57003" w:rsidRPr="00C57003" w14:paraId="1C9BCFF4" w14:textId="77777777" w:rsidTr="009C145B">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14:paraId="059C50A9" w14:textId="77777777" w:rsidR="00C57003" w:rsidRPr="00C57003" w:rsidRDefault="00C57003" w:rsidP="00C57003">
            <w:pPr>
              <w:contextualSpacing/>
              <w:rPr>
                <w:rFonts w:eastAsia="Calibri"/>
                <w:b/>
                <w:bCs/>
              </w:rPr>
            </w:pPr>
            <w:r w:rsidRPr="00C57003">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hideMark/>
          </w:tcPr>
          <w:p w14:paraId="58CF1D17" w14:textId="77777777" w:rsidR="00C57003" w:rsidRPr="00C57003" w:rsidRDefault="00C57003" w:rsidP="00C57003">
            <w:pPr>
              <w:jc w:val="both"/>
            </w:pPr>
            <w:r w:rsidRPr="00C57003">
              <w:t xml:space="preserve">Saistošajos noteikumos nepieciešams veikt papildinājumus 4.2. punktā. un 7.1.2. punktā, norādot sauso lapu un zaru dedzināšanas kārtību.  </w:t>
            </w:r>
          </w:p>
        </w:tc>
      </w:tr>
      <w:tr w:rsidR="00C57003" w:rsidRPr="00C57003" w14:paraId="4D1F8762" w14:textId="77777777" w:rsidTr="009C145B">
        <w:trPr>
          <w:jc w:val="center"/>
        </w:trPr>
        <w:tc>
          <w:tcPr>
            <w:tcW w:w="2689" w:type="dxa"/>
            <w:tcBorders>
              <w:top w:val="single" w:sz="4" w:space="0" w:color="auto"/>
              <w:left w:val="single" w:sz="4" w:space="0" w:color="auto"/>
              <w:bottom w:val="single" w:sz="4" w:space="0" w:color="auto"/>
              <w:right w:val="single" w:sz="4" w:space="0" w:color="auto"/>
            </w:tcBorders>
            <w:hideMark/>
          </w:tcPr>
          <w:p w14:paraId="208579E4" w14:textId="77777777" w:rsidR="00C57003" w:rsidRPr="00C57003" w:rsidRDefault="00C57003" w:rsidP="00C57003">
            <w:pPr>
              <w:ind w:right="-108"/>
              <w:contextualSpacing/>
              <w:rPr>
                <w:rFonts w:eastAsia="Calibri"/>
                <w:b/>
                <w:bCs/>
              </w:rPr>
            </w:pPr>
            <w:r w:rsidRPr="00C57003">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hideMark/>
          </w:tcPr>
          <w:p w14:paraId="3BA1E6C9" w14:textId="77777777" w:rsidR="00C57003" w:rsidRPr="00C57003" w:rsidRDefault="00C57003" w:rsidP="00C57003">
            <w:pPr>
              <w:contextualSpacing/>
              <w:jc w:val="both"/>
              <w:rPr>
                <w:rFonts w:eastAsia="Calibri"/>
                <w:bCs/>
              </w:rPr>
            </w:pPr>
            <w:r w:rsidRPr="00C57003">
              <w:rPr>
                <w:rFonts w:eastAsia="Calibri"/>
                <w:bCs/>
              </w:rPr>
              <w:t>Saistošo noteikumu īstenošanas rezultātā finansiālā ietekme uz pašvaldības budžetu nav.</w:t>
            </w:r>
          </w:p>
        </w:tc>
      </w:tr>
      <w:tr w:rsidR="00C57003" w:rsidRPr="00C57003" w14:paraId="5E39CFE3" w14:textId="77777777" w:rsidTr="009C145B">
        <w:trPr>
          <w:jc w:val="center"/>
        </w:trPr>
        <w:tc>
          <w:tcPr>
            <w:tcW w:w="2689" w:type="dxa"/>
            <w:tcBorders>
              <w:top w:val="single" w:sz="4" w:space="0" w:color="auto"/>
              <w:left w:val="single" w:sz="4" w:space="0" w:color="auto"/>
              <w:bottom w:val="single" w:sz="4" w:space="0" w:color="auto"/>
              <w:right w:val="single" w:sz="4" w:space="0" w:color="auto"/>
            </w:tcBorders>
            <w:hideMark/>
          </w:tcPr>
          <w:p w14:paraId="4D9996B0" w14:textId="77777777" w:rsidR="00C57003" w:rsidRPr="00C57003" w:rsidRDefault="00C57003" w:rsidP="00C57003">
            <w:pPr>
              <w:ind w:right="-108"/>
              <w:contextualSpacing/>
              <w:rPr>
                <w:rFonts w:eastAsia="Calibri"/>
                <w:b/>
                <w:bCs/>
              </w:rPr>
            </w:pPr>
            <w:r w:rsidRPr="00C57003">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hideMark/>
          </w:tcPr>
          <w:p w14:paraId="1836C0D8" w14:textId="77777777" w:rsidR="00C57003" w:rsidRPr="00C57003" w:rsidRDefault="00C57003" w:rsidP="00C57003">
            <w:pPr>
              <w:contextualSpacing/>
              <w:jc w:val="both"/>
              <w:rPr>
                <w:rFonts w:eastAsia="Calibri"/>
                <w:bCs/>
              </w:rPr>
            </w:pPr>
            <w:r w:rsidRPr="00C57003">
              <w:rPr>
                <w:rFonts w:eastAsia="Calibri"/>
                <w:bCs/>
              </w:rPr>
              <w:t>Saistošo noteikumu īstenošanai netiek prognozēta tieša</w:t>
            </w:r>
          </w:p>
          <w:p w14:paraId="0790EF52" w14:textId="77777777" w:rsidR="00C57003" w:rsidRPr="00C57003" w:rsidRDefault="00C57003" w:rsidP="00C57003">
            <w:pPr>
              <w:contextualSpacing/>
              <w:jc w:val="both"/>
              <w:rPr>
                <w:rFonts w:eastAsia="Calibri"/>
                <w:bCs/>
              </w:rPr>
            </w:pPr>
            <w:r w:rsidRPr="00C57003">
              <w:rPr>
                <w:rFonts w:eastAsia="Calibri"/>
                <w:bCs/>
              </w:rPr>
              <w:t>ietekme uz uzņēmējdarbības vidi novada pašvaldības teritorijā.</w:t>
            </w:r>
          </w:p>
        </w:tc>
      </w:tr>
      <w:tr w:rsidR="00C57003" w:rsidRPr="00C57003" w14:paraId="1F91DBEB" w14:textId="77777777" w:rsidTr="009C145B">
        <w:trPr>
          <w:jc w:val="center"/>
        </w:trPr>
        <w:tc>
          <w:tcPr>
            <w:tcW w:w="2689" w:type="dxa"/>
            <w:tcBorders>
              <w:top w:val="single" w:sz="4" w:space="0" w:color="auto"/>
              <w:left w:val="single" w:sz="4" w:space="0" w:color="auto"/>
              <w:bottom w:val="single" w:sz="4" w:space="0" w:color="auto"/>
              <w:right w:val="single" w:sz="4" w:space="0" w:color="auto"/>
            </w:tcBorders>
            <w:hideMark/>
          </w:tcPr>
          <w:p w14:paraId="6AE93305" w14:textId="77777777" w:rsidR="00C57003" w:rsidRPr="00C57003" w:rsidRDefault="00C57003" w:rsidP="00C57003">
            <w:pPr>
              <w:contextualSpacing/>
              <w:rPr>
                <w:rFonts w:eastAsia="Calibri"/>
                <w:b/>
                <w:bCs/>
              </w:rPr>
            </w:pPr>
            <w:r w:rsidRPr="00C57003">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hideMark/>
          </w:tcPr>
          <w:p w14:paraId="0F5734D0" w14:textId="77777777" w:rsidR="00C57003" w:rsidRPr="00C57003" w:rsidRDefault="00C57003" w:rsidP="00C57003">
            <w:pPr>
              <w:contextualSpacing/>
              <w:jc w:val="both"/>
              <w:rPr>
                <w:rFonts w:eastAsia="Calibri"/>
                <w:bCs/>
              </w:rPr>
            </w:pPr>
            <w:r w:rsidRPr="00C57003">
              <w:rPr>
                <w:rFonts w:eastAsia="Calibri"/>
                <w:bCs/>
              </w:rPr>
              <w:t>Saistošie noteikumi neietekmēs administratīvās procedūras.</w:t>
            </w:r>
          </w:p>
        </w:tc>
      </w:tr>
      <w:tr w:rsidR="00C57003" w:rsidRPr="00C57003" w14:paraId="549BDE1D" w14:textId="77777777" w:rsidTr="009C145B">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14:paraId="39AE7D5F" w14:textId="77777777" w:rsidR="00C57003" w:rsidRPr="00C57003" w:rsidRDefault="00C57003" w:rsidP="00C57003">
            <w:pPr>
              <w:ind w:right="-108"/>
              <w:contextualSpacing/>
              <w:rPr>
                <w:rFonts w:eastAsia="Calibri"/>
                <w:b/>
                <w:bCs/>
              </w:rPr>
            </w:pPr>
            <w:r w:rsidRPr="00C57003">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14:paraId="760C656C" w14:textId="77777777" w:rsidR="00C57003" w:rsidRPr="00C57003" w:rsidRDefault="00C57003" w:rsidP="00C57003">
            <w:pPr>
              <w:contextualSpacing/>
              <w:jc w:val="both"/>
              <w:rPr>
                <w:rFonts w:eastAsia="Calibri"/>
                <w:b/>
                <w:bCs/>
              </w:rPr>
            </w:pPr>
            <w:r w:rsidRPr="00C57003">
              <w:rPr>
                <w:rFonts w:eastAsia="Calibri"/>
              </w:rPr>
              <w:t>Nav attiecināms.</w:t>
            </w:r>
          </w:p>
        </w:tc>
      </w:tr>
    </w:tbl>
    <w:p w14:paraId="7AA4DE5D" w14:textId="77777777" w:rsidR="00C57003" w:rsidRPr="00C57003" w:rsidRDefault="00C57003" w:rsidP="00C57003">
      <w:pPr>
        <w:contextualSpacing/>
        <w:jc w:val="both"/>
        <w:rPr>
          <w:rFonts w:eastAsia="Calibri"/>
          <w:b/>
          <w:bCs/>
        </w:rPr>
      </w:pPr>
    </w:p>
    <w:p w14:paraId="21F3A234" w14:textId="77777777" w:rsidR="00C57003" w:rsidRPr="00C57003" w:rsidRDefault="00C57003" w:rsidP="00C57003">
      <w:pPr>
        <w:contextualSpacing/>
        <w:jc w:val="both"/>
        <w:rPr>
          <w:rFonts w:eastAsia="Calibri"/>
          <w:b/>
          <w:bCs/>
        </w:rPr>
      </w:pPr>
    </w:p>
    <w:p w14:paraId="1AA267A8" w14:textId="77777777" w:rsidR="00C57003" w:rsidRPr="00C57003" w:rsidRDefault="00C57003" w:rsidP="00C57003">
      <w:pPr>
        <w:ind w:right="43"/>
        <w:contextualSpacing/>
        <w:rPr>
          <w:rFonts w:eastAsia="Calibri"/>
        </w:rPr>
      </w:pPr>
      <w:r w:rsidRPr="00C57003">
        <w:rPr>
          <w:rFonts w:eastAsia="Calibri"/>
        </w:rPr>
        <w:t>Limbažu novada pašvaldības</w:t>
      </w:r>
    </w:p>
    <w:p w14:paraId="636F4570" w14:textId="77777777" w:rsidR="00C57003" w:rsidRPr="00C57003" w:rsidRDefault="00C57003" w:rsidP="00C57003">
      <w:pPr>
        <w:tabs>
          <w:tab w:val="left" w:pos="4678"/>
          <w:tab w:val="left" w:pos="8364"/>
        </w:tabs>
        <w:ind w:right="43"/>
        <w:contextualSpacing/>
        <w:rPr>
          <w:rFonts w:eastAsia="Calibri"/>
        </w:rPr>
      </w:pPr>
      <w:r w:rsidRPr="00C57003">
        <w:rPr>
          <w:rFonts w:eastAsia="Calibri"/>
        </w:rPr>
        <w:t>Domes priekšsēdētājs</w:t>
      </w:r>
      <w:r w:rsidRPr="00C57003">
        <w:rPr>
          <w:rFonts w:eastAsia="Calibri"/>
        </w:rPr>
        <w:tab/>
      </w:r>
      <w:r w:rsidRPr="00C57003">
        <w:rPr>
          <w:rFonts w:eastAsia="Calibri"/>
        </w:rPr>
        <w:tab/>
        <w:t>D. Zemmers</w:t>
      </w:r>
    </w:p>
    <w:p w14:paraId="39613B5B" w14:textId="2ECED1A8" w:rsidR="00A073EF" w:rsidRDefault="00A073EF" w:rsidP="00A073EF">
      <w:pPr>
        <w:ind w:firstLine="567"/>
        <w:jc w:val="both"/>
        <w:rPr>
          <w:b/>
        </w:rPr>
      </w:pPr>
    </w:p>
    <w:sectPr w:rsidR="00A073EF" w:rsidSect="00C57003">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2BAE2" w14:textId="77777777" w:rsidR="0031418D" w:rsidRDefault="0031418D" w:rsidP="00C57003">
      <w:r>
        <w:separator/>
      </w:r>
    </w:p>
  </w:endnote>
  <w:endnote w:type="continuationSeparator" w:id="0">
    <w:p w14:paraId="708969D1" w14:textId="77777777" w:rsidR="0031418D" w:rsidRDefault="0031418D" w:rsidP="00C5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9992D" w14:textId="77777777" w:rsidR="0031418D" w:rsidRDefault="0031418D" w:rsidP="00C57003">
      <w:r>
        <w:separator/>
      </w:r>
    </w:p>
  </w:footnote>
  <w:footnote w:type="continuationSeparator" w:id="0">
    <w:p w14:paraId="5266F567" w14:textId="77777777" w:rsidR="0031418D" w:rsidRDefault="0031418D" w:rsidP="00C57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F9CB8" w14:textId="69A861F4" w:rsidR="00C57003" w:rsidRDefault="00EB5FBB">
    <w:pPr>
      <w:pStyle w:val="Galvene"/>
    </w:pPr>
    <w:r>
      <w:rPr>
        <w:noProof/>
      </w:rPr>
      <w:drawing>
        <wp:anchor distT="0" distB="0" distL="114300" distR="114300" simplePos="0" relativeHeight="251659264" behindDoc="0" locked="0" layoutInCell="1" allowOverlap="1" wp14:anchorId="7BC2BCE8" wp14:editId="77F2F884">
          <wp:simplePos x="0" y="0"/>
          <wp:positionH relativeFrom="column">
            <wp:posOffset>-1072515</wp:posOffset>
          </wp:positionH>
          <wp:positionV relativeFrom="paragraph">
            <wp:posOffset>-450215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2"/>
  </w:num>
  <w:num w:numId="8">
    <w:abstractNumId w:val="3"/>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930EC"/>
    <w:rsid w:val="00093202"/>
    <w:rsid w:val="00096A9B"/>
    <w:rsid w:val="000B395A"/>
    <w:rsid w:val="000B6B02"/>
    <w:rsid w:val="00104D71"/>
    <w:rsid w:val="001850B9"/>
    <w:rsid w:val="001C3BCA"/>
    <w:rsid w:val="001D6119"/>
    <w:rsid w:val="00201C87"/>
    <w:rsid w:val="00203ADC"/>
    <w:rsid w:val="00216BD8"/>
    <w:rsid w:val="00236B93"/>
    <w:rsid w:val="00272F5A"/>
    <w:rsid w:val="002A7FF1"/>
    <w:rsid w:val="002B4F20"/>
    <w:rsid w:val="002F2838"/>
    <w:rsid w:val="0031418D"/>
    <w:rsid w:val="003470C8"/>
    <w:rsid w:val="00360949"/>
    <w:rsid w:val="003F355A"/>
    <w:rsid w:val="004078C3"/>
    <w:rsid w:val="00407961"/>
    <w:rsid w:val="00441955"/>
    <w:rsid w:val="00443423"/>
    <w:rsid w:val="00464611"/>
    <w:rsid w:val="004861CC"/>
    <w:rsid w:val="00486C72"/>
    <w:rsid w:val="004949C7"/>
    <w:rsid w:val="004C25C5"/>
    <w:rsid w:val="004C575E"/>
    <w:rsid w:val="004E1959"/>
    <w:rsid w:val="00540EAA"/>
    <w:rsid w:val="005B3CFB"/>
    <w:rsid w:val="005D1BD6"/>
    <w:rsid w:val="005D2945"/>
    <w:rsid w:val="005F1E4A"/>
    <w:rsid w:val="00604ED4"/>
    <w:rsid w:val="00613077"/>
    <w:rsid w:val="00623DD3"/>
    <w:rsid w:val="00626670"/>
    <w:rsid w:val="00661BCB"/>
    <w:rsid w:val="006A4A7A"/>
    <w:rsid w:val="006C3828"/>
    <w:rsid w:val="006E09C6"/>
    <w:rsid w:val="006E1F7C"/>
    <w:rsid w:val="006E6A32"/>
    <w:rsid w:val="00710C2B"/>
    <w:rsid w:val="00723891"/>
    <w:rsid w:val="00760114"/>
    <w:rsid w:val="007617CF"/>
    <w:rsid w:val="00791FBD"/>
    <w:rsid w:val="00803EF5"/>
    <w:rsid w:val="0081054C"/>
    <w:rsid w:val="0083455D"/>
    <w:rsid w:val="00891B85"/>
    <w:rsid w:val="00894AE5"/>
    <w:rsid w:val="008A6D86"/>
    <w:rsid w:val="008B7517"/>
    <w:rsid w:val="008C1D6E"/>
    <w:rsid w:val="008C6BA9"/>
    <w:rsid w:val="008E2F79"/>
    <w:rsid w:val="008F1C1D"/>
    <w:rsid w:val="008F3CC8"/>
    <w:rsid w:val="00963518"/>
    <w:rsid w:val="009877EA"/>
    <w:rsid w:val="009A3C00"/>
    <w:rsid w:val="009B16FA"/>
    <w:rsid w:val="009C145B"/>
    <w:rsid w:val="009C7A58"/>
    <w:rsid w:val="009D4B08"/>
    <w:rsid w:val="009F4FCE"/>
    <w:rsid w:val="009F522F"/>
    <w:rsid w:val="00A073EF"/>
    <w:rsid w:val="00A14894"/>
    <w:rsid w:val="00A513B2"/>
    <w:rsid w:val="00A51F2E"/>
    <w:rsid w:val="00A54B4F"/>
    <w:rsid w:val="00AB177A"/>
    <w:rsid w:val="00AC6E87"/>
    <w:rsid w:val="00AE1256"/>
    <w:rsid w:val="00B06AAD"/>
    <w:rsid w:val="00B55642"/>
    <w:rsid w:val="00B71766"/>
    <w:rsid w:val="00B821C5"/>
    <w:rsid w:val="00BA05DE"/>
    <w:rsid w:val="00BA6B84"/>
    <w:rsid w:val="00BC0579"/>
    <w:rsid w:val="00BD379F"/>
    <w:rsid w:val="00BE25B8"/>
    <w:rsid w:val="00BE6FFA"/>
    <w:rsid w:val="00C52533"/>
    <w:rsid w:val="00C57003"/>
    <w:rsid w:val="00C6367A"/>
    <w:rsid w:val="00C8395D"/>
    <w:rsid w:val="00C90E9C"/>
    <w:rsid w:val="00CD010E"/>
    <w:rsid w:val="00D12176"/>
    <w:rsid w:val="00D13155"/>
    <w:rsid w:val="00D64168"/>
    <w:rsid w:val="00D8192D"/>
    <w:rsid w:val="00D84FBA"/>
    <w:rsid w:val="00DA510A"/>
    <w:rsid w:val="00DC309C"/>
    <w:rsid w:val="00DF3E83"/>
    <w:rsid w:val="00E15DDD"/>
    <w:rsid w:val="00E867A8"/>
    <w:rsid w:val="00E86A57"/>
    <w:rsid w:val="00E9293D"/>
    <w:rsid w:val="00EB5FBB"/>
    <w:rsid w:val="00EC0D40"/>
    <w:rsid w:val="00EF6A26"/>
    <w:rsid w:val="00F23DD5"/>
    <w:rsid w:val="00F42329"/>
    <w:rsid w:val="00F60FCC"/>
    <w:rsid w:val="00F961C6"/>
    <w:rsid w:val="00FA7B7F"/>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B1668"/>
  <w15:docId w15:val="{7D211316-26F0-4AD8-B196-57D3443D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C57003"/>
    <w:pPr>
      <w:tabs>
        <w:tab w:val="center" w:pos="4153"/>
        <w:tab w:val="right" w:pos="8306"/>
      </w:tabs>
    </w:pPr>
  </w:style>
  <w:style w:type="character" w:customStyle="1" w:styleId="GalveneRakstz">
    <w:name w:val="Galvene Rakstz."/>
    <w:basedOn w:val="Noklusjumarindkopasfonts"/>
    <w:link w:val="Galvene"/>
    <w:uiPriority w:val="99"/>
    <w:rsid w:val="00C5700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57003"/>
    <w:pPr>
      <w:tabs>
        <w:tab w:val="center" w:pos="4153"/>
        <w:tab w:val="right" w:pos="8306"/>
      </w:tabs>
    </w:pPr>
  </w:style>
  <w:style w:type="character" w:customStyle="1" w:styleId="KjeneRakstz">
    <w:name w:val="Kājene Rakstz."/>
    <w:basedOn w:val="Noklusjumarindkopasfonts"/>
    <w:link w:val="Kjene"/>
    <w:uiPriority w:val="99"/>
    <w:rsid w:val="00C5700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1</Pages>
  <Words>863</Words>
  <Characters>492</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9</cp:revision>
  <cp:lastPrinted>2020-02-05T14:10:00Z</cp:lastPrinted>
  <dcterms:created xsi:type="dcterms:W3CDTF">2021-05-10T09:51:00Z</dcterms:created>
  <dcterms:modified xsi:type="dcterms:W3CDTF">2021-06-01T07:26:00Z</dcterms:modified>
</cp:coreProperties>
</file>