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B7A" w14:textId="77777777" w:rsidR="00103395" w:rsidRDefault="00103395" w:rsidP="000007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F24357" w14:textId="5B23D228" w:rsidR="00000711" w:rsidRPr="00E56361" w:rsidRDefault="00000711" w:rsidP="000007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Limbažos</w:t>
      </w:r>
    </w:p>
    <w:p w14:paraId="3B0E551F" w14:textId="77777777" w:rsidR="00000711" w:rsidRPr="00E56361" w:rsidRDefault="00000711" w:rsidP="00000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FE44B1F" w14:textId="77777777" w:rsidR="00000711" w:rsidRPr="00E56361" w:rsidRDefault="00000711" w:rsidP="000007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6422BB54" w14:textId="77777777" w:rsidR="00000711" w:rsidRPr="00E56361" w:rsidRDefault="00000711" w:rsidP="00000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237961E7" w14:textId="262ED747" w:rsidR="00000711" w:rsidRPr="00E56361" w:rsidRDefault="00000711" w:rsidP="00000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26.08.2021. sēdes lēmumu Nr.2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</w:p>
    <w:p w14:paraId="02ADB356" w14:textId="62A16B5D" w:rsidR="00000711" w:rsidRPr="00E56361" w:rsidRDefault="00000711" w:rsidP="00000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Nr.5, 11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3766948C" w14:textId="77777777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5DA189" w14:textId="4D39F87B" w:rsidR="009256EF" w:rsidRPr="00000711" w:rsidRDefault="00103395" w:rsidP="00925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79656730"/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ALOJAS UZŅĒMĒJDARBĪBAS ATBALSTA CENTRA “SALA”</w:t>
      </w:r>
    </w:p>
    <w:bookmarkEnd w:id="0"/>
    <w:p w14:paraId="240B0D71" w14:textId="638057A5" w:rsidR="009256EF" w:rsidRPr="00000711" w:rsidRDefault="00103395" w:rsidP="00925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NOLIKUMS</w:t>
      </w:r>
    </w:p>
    <w:p w14:paraId="570F6784" w14:textId="77777777" w:rsidR="009256EF" w:rsidRPr="00000711" w:rsidRDefault="009256EF" w:rsidP="00925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5030707" w14:textId="77777777" w:rsidR="009256EF" w:rsidRPr="00000711" w:rsidRDefault="009256EF" w:rsidP="009256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</w:rPr>
        <w:t>Vispārīgie noteikumi</w:t>
      </w:r>
    </w:p>
    <w:p w14:paraId="60314360" w14:textId="77777777" w:rsidR="009256EF" w:rsidRPr="00000711" w:rsidRDefault="009256EF" w:rsidP="00925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CF29DAE" w14:textId="4DAF4329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Alojas Uzņēmējdarbības atbalsta centrs “SALA” (turpmāk – SALA) ir Limbažu novada pašvaldības (turpmāk tekstā – Pašvaldība) padotībā esoša iestāde, </w:t>
      </w: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kuras pamatfunkcija</w:t>
      </w: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uzņēmējdarbības atbalsta veicināšana un tūrisma attīstīšana.</w:t>
      </w:r>
    </w:p>
    <w:p w14:paraId="6297F3F3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SALAS darbību finansē no Pašvaldības budžeta līdzekļiem.</w:t>
      </w:r>
    </w:p>
    <w:p w14:paraId="7A76A603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SALA darbojas saskaņā ar likumu “Par pašvaldībām” u.c. normatīvajiem aktiem, Limbažu novada domes (turpmāk – Dome) lēmumiem,  Pašvaldības vadības rīkojumiem un šo nolikumu. </w:t>
      </w:r>
    </w:p>
    <w:p w14:paraId="34CBC125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Nolikums nosaka  SALAS mērķi, uzdevumus, tiesības, organizatorisko struktūru un vadību.</w:t>
      </w:r>
    </w:p>
    <w:p w14:paraId="07BD6C41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Lēmumu par SALAS reorganizāciju un likvidāciju pieņem Dome.</w:t>
      </w:r>
    </w:p>
    <w:p w14:paraId="49A9638D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SALAS juridiskā adrese: </w:t>
      </w:r>
      <w:bookmarkStart w:id="1" w:name="_Hlk79666471"/>
      <w:r w:rsidRPr="00000711">
        <w:rPr>
          <w:rFonts w:ascii="Times New Roman" w:eastAsia="Times New Roman" w:hAnsi="Times New Roman" w:cs="Times New Roman"/>
          <w:sz w:val="24"/>
          <w:szCs w:val="24"/>
        </w:rPr>
        <w:t>Liepu iela 3, Ungurpils, Alojas pagasts, Limbažu novads, LV-4064</w:t>
      </w:r>
      <w:bookmarkEnd w:id="1"/>
    </w:p>
    <w:p w14:paraId="025CEB66" w14:textId="77777777" w:rsidR="009256EF" w:rsidRPr="00000711" w:rsidRDefault="009256EF" w:rsidP="0092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BF4CFF" w14:textId="77777777" w:rsidR="009256EF" w:rsidRPr="00000711" w:rsidRDefault="009256EF" w:rsidP="009256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</w:rPr>
        <w:t>SALA mērķis un uzdevumi</w:t>
      </w:r>
    </w:p>
    <w:p w14:paraId="62F99B2B" w14:textId="77777777" w:rsidR="009256EF" w:rsidRPr="00000711" w:rsidRDefault="009256EF" w:rsidP="00925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C2AADF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mērķis ir veicināt esošo un jaunu uzņēmumu attīstību sniedzot tiem nepieciešamo atbalstu, veicināt tūrismu un aktivizēt vietējo sabiedrību.</w:t>
      </w:r>
    </w:p>
    <w:p w14:paraId="7321F637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galvenie uzdevumi ir:</w:t>
      </w:r>
    </w:p>
    <w:p w14:paraId="78EF8793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nodrošināt uzņēmējdarbības atbalsta infrastruktūru esošo un jaunu uzņēmumu aktivizēšanai;</w:t>
      </w:r>
    </w:p>
    <w:p w14:paraId="18310C50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sniegt nepieciešamās konsultācijas uzņēmumiem darbinieku kompetences ietvaros un piesaistīt nepieciešamos speciālistus uzņēmumu konsultēšanā;</w:t>
      </w:r>
    </w:p>
    <w:p w14:paraId="2CB220EC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organizēt neformālās izglītības seminārus un apmācības, veicinot mūžizglītību;</w:t>
      </w:r>
    </w:p>
    <w:p w14:paraId="48A5B8A1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organizēt aktivitātes SALA apmeklētājiem, ņemot vērā mērķauditorijas intereses un pieprasījumu;</w:t>
      </w:r>
    </w:p>
    <w:p w14:paraId="18A8C97D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aktivizēt vietējos uzņēmumus un sabiedrību;</w:t>
      </w:r>
    </w:p>
    <w:p w14:paraId="1E468173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pilnveidot SALA materiāltehnisko bāzi kvalitatīvu un mūsdienīgu pakalpojumu nodrošināšanai;</w:t>
      </w:r>
    </w:p>
    <w:p w14:paraId="11E0E5BB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radīt labvēlīgus apstākļus telpu daudzpusīgai izmantošanai un iznomāšanai;</w:t>
      </w:r>
    </w:p>
    <w:p w14:paraId="7BD9FF50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iznomāt telpas attālinātajam darbam, uzņēmējdarbības nodrošināšanai, kooperatīvo pasākumu u.tml. pasākumu organizēšanai;</w:t>
      </w:r>
    </w:p>
    <w:p w14:paraId="75248BBB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piesaistīt papildus finansējumus, izstrādājot, vadot un īstenojot SALA darbībai atbilstošus projektus darbinieku kompetences ietvaros;</w:t>
      </w:r>
    </w:p>
    <w:p w14:paraId="161185E3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Tūrisma Informācijas Punkta funkciju nodrošināšana un ar to saistīto pakalpojumu sniegšana;</w:t>
      </w:r>
    </w:p>
    <w:p w14:paraId="394A202B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lastRenderedPageBreak/>
        <w:t>sadarbībā ar Pašvaldības Tūrisma informācijas centriem kopīgi veidot prezentācijas materiālus un novada tūrisma reklāmas materiālus, izplatīt tos;</w:t>
      </w:r>
    </w:p>
    <w:p w14:paraId="6BC0EF21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attīstīt kvalitatīvus, inovatīvus un unikālus tūrisma produktus un pakalpojumus balstoties uz materiāliem un nemateriāliem novada resursiem, ievērojot labās prakses piemērus Latvijā un ārvalstīs;</w:t>
      </w:r>
    </w:p>
    <w:p w14:paraId="63A2B933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uzturēt un atjaunot SALAS interneta vietni - sala.lv un piesaistītos sociālos kontus.</w:t>
      </w:r>
    </w:p>
    <w:p w14:paraId="74A7CF3D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uzdevumi var tikt papildināti ņemot vērā mērķauditorijas intereses un pieprasījumu.</w:t>
      </w:r>
    </w:p>
    <w:p w14:paraId="64C63EB6" w14:textId="77777777" w:rsidR="009256EF" w:rsidRPr="00000711" w:rsidRDefault="009256EF" w:rsidP="009256E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0A728" w14:textId="77777777" w:rsidR="009256EF" w:rsidRPr="00000711" w:rsidRDefault="009256EF" w:rsidP="009256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</w:rPr>
        <w:t>SALA tiesības</w:t>
      </w:r>
    </w:p>
    <w:p w14:paraId="2AF9779C" w14:textId="77777777" w:rsidR="009256EF" w:rsidRPr="00000711" w:rsidRDefault="009256EF" w:rsidP="009256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6E597D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Patstāvīgi veikt šajā </w:t>
      </w:r>
      <w:smartTag w:uri="schemas-tilde-lv/tildestengine" w:element="veidnes">
        <w:smartTagPr>
          <w:attr w:name="text" w:val="nolikumā"/>
          <w:attr w:name="id" w:val="-1"/>
          <w:attr w:name="baseform" w:val="nolikum|s"/>
        </w:smartTagPr>
        <w:r w:rsidRPr="0000071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nolikumā</w:t>
        </w:r>
      </w:smartTag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paredzēto darbību un darbības virzienus. </w:t>
      </w:r>
    </w:p>
    <w:p w14:paraId="076BE4A2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000711">
          <w:rPr>
            <w:rFonts w:ascii="Times New Roman" w:eastAsia="Times New Roman" w:hAnsi="Times New Roman" w:cs="Times New Roman"/>
            <w:sz w:val="24"/>
            <w:szCs w:val="24"/>
          </w:rPr>
          <w:t>nolikumu</w:t>
        </w:r>
      </w:smartTag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 veidot SALAS struktūru.</w:t>
      </w:r>
    </w:p>
    <w:p w14:paraId="512ED49F" w14:textId="7CF81EDA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Domes noteiktajā kārtībā patstāvīgi slēgt līgumus ar fiziskām un juridiskām personām</w:t>
      </w:r>
      <w:r w:rsidR="00103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9FB354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Saņemt no Domes nepieciešamo finansiālo, materiālo un tehnisko nodrošinājumu SALAS uzdevumu izpildei, ēkas uzturēšanai, t.sk., remontam, komunālajiem pakalpojumiem, apsardzei, ugunsdrošībai.</w:t>
      </w:r>
    </w:p>
    <w:p w14:paraId="65AF4FA4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Iekasēt maksu par SALA sniegtajiem maksas pakalpojumiem atbilstoši Nolikuma 1.pielikumā norādītajam cenrādim un citām ar  Domes lēmumu vai Izpilddirektora rīkojumu noteiktām pakalpojumu vai preču  cenām. </w:t>
      </w:r>
    </w:p>
    <w:p w14:paraId="118F3447" w14:textId="77777777" w:rsidR="009256EF" w:rsidRPr="00000711" w:rsidRDefault="009256EF" w:rsidP="00103395">
      <w:pPr>
        <w:numPr>
          <w:ilvl w:val="1"/>
          <w:numId w:val="1"/>
        </w:numPr>
        <w:spacing w:after="0" w:line="240" w:lineRule="auto"/>
        <w:ind w:left="505" w:hanging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sniedz šādus maksas pakalpojumu: telpu iznomāšana, tehniskie biroja pakalpojumi, suvenīru realizācija, tehnisko līdzekļu iznomāšana, citi maksas pakalpojumi.</w:t>
      </w:r>
    </w:p>
    <w:p w14:paraId="3DD53846" w14:textId="77777777" w:rsidR="009256EF" w:rsidRPr="00000711" w:rsidRDefault="009256EF" w:rsidP="00103395">
      <w:pPr>
        <w:numPr>
          <w:ilvl w:val="1"/>
          <w:numId w:val="1"/>
        </w:numPr>
        <w:spacing w:after="0" w:line="240" w:lineRule="auto"/>
        <w:ind w:left="505" w:hanging="5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sniegto maksas pakalpojumu rezultātā gūtie ienākumi izmantojami SALA uzdevumu nodrošināšanai un  darbības attīstīšanai – materiāli tehniskā aprīkojuma uzlabošanai, pilnveidošanai un ieviešanai; pakalpojumu pilnveidei un ieviešanai; darbinieku tālākizglītībai; darbinieku materiālajai stimulēšanai un darba procesu uzlabošanai.</w:t>
      </w:r>
    </w:p>
    <w:p w14:paraId="37DC9CE9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Saņemt ziedojumus, dāvinājumus, ārvalstu finansiālo palīdzību, piedalīties projektu konkursos, lai saņemtu līdzekļus nozīmīgu projektu un programmu realizēšanai.</w:t>
      </w:r>
    </w:p>
    <w:p w14:paraId="257C7B6D" w14:textId="55C49EF5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Izmantot maksas pakalpojumu, ziedojumu vai dāvinājumu, kā arī saimnieciskās darbības rezultātā iegūtos līdzekļus</w:t>
      </w:r>
      <w:r w:rsidR="001033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97C3D7" w14:textId="3D65E22C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Izmantot Domes un tās institūciju īpašumā vai valdījumā esošo nekustamo un kustamo mantu un infrastruktūru SALAS uzdevumu un funkciju veikšanai</w:t>
      </w:r>
      <w:r w:rsidR="00103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0CE45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Iesniegt priekšlikumus Domei par SALA darbību.</w:t>
      </w:r>
    </w:p>
    <w:p w14:paraId="31360BA1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Pieprasīt un saņemt no valsts un pašvaldību institūcijām, kā arī – normatīvajos aktos noteiktajā kārtībā – no fiziskajām un juridiskajām personām SALAS uzdevumu izpildei nepieciešamo informāciju.</w:t>
      </w:r>
    </w:p>
    <w:p w14:paraId="0168DBCF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Patstāvīgi sadarboties ar Pašvaldības iestādēm tos struktūrvienībām, uzņēmumiem, interešu grupām un biedrībām.</w:t>
      </w:r>
    </w:p>
    <w:p w14:paraId="2EC55025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Īstenot citas normatīvajos aktos noteiktās tiesības.</w:t>
      </w:r>
    </w:p>
    <w:p w14:paraId="62A05AE8" w14:textId="77777777" w:rsidR="009256EF" w:rsidRPr="00000711" w:rsidRDefault="009256EF" w:rsidP="009256EF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C55DA" w14:textId="77777777" w:rsidR="009256EF" w:rsidRPr="00000711" w:rsidRDefault="009256EF" w:rsidP="009256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</w:rPr>
        <w:t>Organizatoriskā struktūra un vadība</w:t>
      </w:r>
    </w:p>
    <w:p w14:paraId="06066D02" w14:textId="77777777" w:rsidR="009256EF" w:rsidRPr="00000711" w:rsidRDefault="009256EF" w:rsidP="009256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908CEA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struktūru un amatu sarakstu apstiprina Dome.</w:t>
      </w:r>
    </w:p>
    <w:p w14:paraId="277AC6C6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SALAS vadītāju amatā ieceļ un no amata atbrīvo Dome. Darba līgumu ar Salas vadītāju slēdz </w:t>
      </w:r>
      <w:bookmarkStart w:id="2" w:name="_Hlk79664493"/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Pašvaldības izpilddirektora 3.vietnieks</w:t>
      </w:r>
      <w:bookmarkEnd w:id="2"/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2864A2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 vadītājs:</w:t>
      </w:r>
    </w:p>
    <w:p w14:paraId="24A9785D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organizē un plāno SALAS darbu un ir atbildīgs par tās darbību, realizējot tās uzdevumus un tiesības;</w:t>
      </w:r>
    </w:p>
    <w:p w14:paraId="147B55A3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izstrādā un iesniedz Domē un Pašvaldībā darba plānus, atskaites, pārskatus, budžeta projektu un citu pieprasīto informāciju;</w:t>
      </w:r>
    </w:p>
    <w:p w14:paraId="5A911D7D" w14:textId="77777777" w:rsidR="009256EF" w:rsidRPr="00000711" w:rsidRDefault="009256EF" w:rsidP="00103395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atbild par SALAS finanšu un materiālo līdzekļu racionālu izmantošanu, sastāda finanšu gada budžeta tāmi, atbilstoši Pašvaldības izstrādātajai instrukcijai un noteiktajai kārtībai;</w:t>
      </w:r>
    </w:p>
    <w:p w14:paraId="0C2524FF" w14:textId="77777777" w:rsidR="009256EF" w:rsidRPr="00000711" w:rsidRDefault="009256EF" w:rsidP="00103395">
      <w:pPr>
        <w:numPr>
          <w:ilvl w:val="2"/>
          <w:numId w:val="1"/>
        </w:numPr>
        <w:spacing w:after="0" w:line="240" w:lineRule="auto"/>
        <w:ind w:left="1276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lastRenderedPageBreak/>
        <w:t>nodrošina sanitāri higiēnisko prasību, darba aizsardzības un ugunsdrošības normu ievērošanu;</w:t>
      </w:r>
    </w:p>
    <w:p w14:paraId="5CCFC748" w14:textId="5BCD1280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bez speciāla pilnvarojuma pārstāv SALU attiecībās ar fiziskām un juridiskām personām</w:t>
      </w:r>
      <w:r w:rsidR="0010339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1D051A" w14:textId="77777777" w:rsidR="009256EF" w:rsidRPr="00000711" w:rsidRDefault="009256EF" w:rsidP="009256EF">
      <w:pPr>
        <w:numPr>
          <w:ilvl w:val="2"/>
          <w:numId w:val="1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saskaņā ar normatīvajiem aktiem nodrošina SALAS dokumentu un arhīvu pārvaldību.</w:t>
      </w:r>
    </w:p>
    <w:p w14:paraId="36597829" w14:textId="45E81B8D" w:rsidR="009256EF" w:rsidRPr="00103395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SALAS darbiniekus darbā pieņem un no darba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00711">
        <w:rPr>
          <w:rFonts w:ascii="Times New Roman" w:eastAsia="Times New Roman" w:hAnsi="Times New Roman" w:cs="Times New Roman"/>
          <w:sz w:val="24"/>
          <w:szCs w:val="24"/>
        </w:rPr>
        <w:t>atbrīvo Pašvaldības izpilddirektora 3.vietnieks</w:t>
      </w:r>
      <w:r w:rsidR="00103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711">
        <w:rPr>
          <w:rFonts w:ascii="Times New Roman" w:eastAsia="Times New Roman" w:hAnsi="Times New Roman" w:cs="Times New Roman"/>
          <w:sz w:val="24"/>
          <w:szCs w:val="24"/>
        </w:rPr>
        <w:t xml:space="preserve">pēc SALAS vadītājas ierosinājuma. SALA darbinieku amata pienākumus un tiesības nosaka amatu apraksti, kuru sagatavo SALAS vadītāja un apstiprina Pašvaldības izpilddirektora 3.vietnieks. </w:t>
      </w:r>
    </w:p>
    <w:p w14:paraId="7475C02B" w14:textId="77777777" w:rsidR="00103395" w:rsidRPr="00000711" w:rsidRDefault="00103395" w:rsidP="001033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37BD6" w14:textId="645A2A8E" w:rsidR="009256EF" w:rsidRDefault="009256EF" w:rsidP="009256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</w:rPr>
        <w:t>Citi jautājumi</w:t>
      </w:r>
    </w:p>
    <w:p w14:paraId="721F6A04" w14:textId="77777777" w:rsidR="00103395" w:rsidRPr="00000711" w:rsidRDefault="00103395" w:rsidP="0010339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28A67" w14:textId="77777777" w:rsidR="009256EF" w:rsidRPr="00000711" w:rsidRDefault="009256EF" w:rsidP="009256EF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SALAS darbības tiesiskumu nodrošina SALAS vadītāja. SALAS tiesiskuma un lietderības kontroli īsteno Pašvaldības izpilddirektora 3. vietnieks.</w:t>
      </w:r>
    </w:p>
    <w:p w14:paraId="10D433BD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SALAS vadītāja nelikumīgos un nelietderīgos lēmumus pēc pašvaldības izpilddirektora 3.vietnieka ierosinājum atceļ Dome, ja pēc Pašvaldības izpilddirektora 3.vietnieka rīkojuma to nav atcēlis SALAS vadītājs. </w:t>
      </w:r>
    </w:p>
    <w:p w14:paraId="37D1947B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Šis nolikums stājas spēkā pēc tā apstiprināšanas Domes sēdē.</w:t>
      </w:r>
    </w:p>
    <w:p w14:paraId="7E3A0836" w14:textId="77777777" w:rsidR="009256EF" w:rsidRPr="00000711" w:rsidRDefault="009256EF" w:rsidP="009256EF">
      <w:pPr>
        <w:numPr>
          <w:ilvl w:val="1"/>
          <w:numId w:val="1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11">
        <w:rPr>
          <w:rFonts w:ascii="Times New Roman" w:eastAsia="Times New Roman" w:hAnsi="Times New Roman" w:cs="Times New Roman"/>
          <w:sz w:val="24"/>
          <w:szCs w:val="24"/>
        </w:rPr>
        <w:t>Ar šī nolikuma spēkā stāšanās brīdi spēku zaudē Alojas novada domes 2020.gada 24.septembra nolikums “Alojas novada Uzņēmējdarbības atbalsta centra “SALA” nolikums”.</w:t>
      </w:r>
    </w:p>
    <w:p w14:paraId="1359F9C1" w14:textId="77777777" w:rsidR="009256EF" w:rsidRPr="00000711" w:rsidRDefault="009256EF" w:rsidP="0010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7F0090" w14:textId="77777777" w:rsidR="00000711" w:rsidRDefault="00000711" w:rsidP="0010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73CA9" w14:textId="77777777" w:rsidR="00103395" w:rsidRPr="00C4198F" w:rsidRDefault="00103395" w:rsidP="0010339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8F">
        <w:rPr>
          <w:rFonts w:ascii="Times New Roman" w:eastAsia="Times New Roman" w:hAnsi="Times New Roman" w:cs="Times New Roman"/>
          <w:sz w:val="24"/>
          <w:szCs w:val="24"/>
        </w:rPr>
        <w:t>Limbažu novada pašvaldības</w:t>
      </w:r>
    </w:p>
    <w:p w14:paraId="14FECD8E" w14:textId="77777777" w:rsidR="00103395" w:rsidRPr="00C4198F" w:rsidRDefault="00103395" w:rsidP="00103395">
      <w:pPr>
        <w:tabs>
          <w:tab w:val="left" w:pos="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8F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                                                                                   D. </w:t>
      </w:r>
      <w:proofErr w:type="spellStart"/>
      <w:r w:rsidRPr="00C4198F">
        <w:rPr>
          <w:rFonts w:ascii="Times New Roman" w:eastAsia="Times New Roman" w:hAnsi="Times New Roman" w:cs="Times New Roman"/>
          <w:sz w:val="24"/>
          <w:szCs w:val="24"/>
        </w:rPr>
        <w:t>Straubergs</w:t>
      </w:r>
      <w:proofErr w:type="spellEnd"/>
    </w:p>
    <w:p w14:paraId="2353F4E7" w14:textId="31B10A39" w:rsidR="00103395" w:rsidRDefault="00103395" w:rsidP="009256EF">
      <w:pPr>
        <w:jc w:val="both"/>
        <w:rPr>
          <w:rFonts w:ascii="Times New Roman" w:hAnsi="Times New Roman"/>
          <w:sz w:val="24"/>
        </w:rPr>
        <w:sectPr w:rsidR="00103395" w:rsidSect="00000711">
          <w:headerReference w:type="default" r:id="rId7"/>
          <w:headerReference w:type="firs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285C59E" w14:textId="77777777" w:rsidR="009256EF" w:rsidRPr="00000711" w:rsidRDefault="009256EF" w:rsidP="009256E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1.pielikuma 1.daļa</w:t>
      </w:r>
    </w:p>
    <w:p w14:paraId="60FADFD1" w14:textId="77777777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domes </w:t>
      </w:r>
    </w:p>
    <w:p w14:paraId="13692F38" w14:textId="77F8644A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26.08.2021. sēdes lēmum</w:t>
      </w:r>
      <w:r w:rsidR="00A27A65"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</w:t>
      </w:r>
      <w:r w:rsidR="00A27A65">
        <w:rPr>
          <w:rFonts w:ascii="Times New Roman" w:eastAsia="Times New Roman" w:hAnsi="Times New Roman" w:cs="Times New Roman"/>
          <w:sz w:val="24"/>
          <w:szCs w:val="24"/>
          <w:lang w:eastAsia="lv-LV"/>
        </w:rPr>
        <w:t>223</w:t>
      </w:r>
    </w:p>
    <w:p w14:paraId="5BD904E8" w14:textId="77777777" w:rsidR="00A27A65" w:rsidRPr="00E56361" w:rsidRDefault="00A27A65" w:rsidP="00A2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Nr.5, 11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0C45EC69" w14:textId="77777777" w:rsidR="009256EF" w:rsidRPr="00000711" w:rsidRDefault="009256EF" w:rsidP="009256EF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8B2313" w14:textId="77777777" w:rsidR="009256EF" w:rsidRPr="00000711" w:rsidRDefault="009256EF" w:rsidP="009256EF">
      <w:pPr>
        <w:spacing w:after="0" w:line="240" w:lineRule="auto"/>
        <w:ind w:left="-1276" w:right="-133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 Uzņēmējdarbības atbalsta centra SALA</w:t>
      </w:r>
    </w:p>
    <w:p w14:paraId="01CD932E" w14:textId="77777777" w:rsidR="009256EF" w:rsidRPr="00000711" w:rsidRDefault="009256EF" w:rsidP="009256EF">
      <w:pPr>
        <w:spacing w:after="0" w:line="240" w:lineRule="auto"/>
        <w:ind w:left="-1276" w:right="-13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MAKSAS PAKALPOJUMU CENRĀDIS</w:t>
      </w:r>
    </w:p>
    <w:p w14:paraId="4694082E" w14:textId="77777777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Sarakstatabula6krsaina-izclums32"/>
        <w:tblW w:w="962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43"/>
        <w:gridCol w:w="992"/>
        <w:gridCol w:w="1418"/>
        <w:gridCol w:w="1134"/>
        <w:gridCol w:w="1417"/>
        <w:gridCol w:w="1418"/>
        <w:gridCol w:w="1399"/>
      </w:tblGrid>
      <w:tr w:rsidR="009256EF" w:rsidRPr="00000711" w14:paraId="09401373" w14:textId="77777777" w:rsidTr="00BF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  <w:gridSpan w:val="7"/>
            <w:tcBorders>
              <w:bottom w:val="none" w:sz="0" w:space="0" w:color="auto"/>
            </w:tcBorders>
            <w:hideMark/>
          </w:tcPr>
          <w:p w14:paraId="380A9698" w14:textId="77777777" w:rsidR="009256EF" w:rsidRPr="00000711" w:rsidRDefault="009256EF" w:rsidP="00BF0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noma </w:t>
            </w:r>
          </w:p>
        </w:tc>
      </w:tr>
      <w:tr w:rsidR="009256EF" w:rsidRPr="00000711" w14:paraId="66A69C23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7A36C82A" w14:textId="77777777" w:rsidR="009256EF" w:rsidRPr="00000711" w:rsidRDefault="009256EF" w:rsidP="00BF0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992" w:type="dxa"/>
            <w:vAlign w:val="center"/>
            <w:hideMark/>
          </w:tcPr>
          <w:p w14:paraId="22A9E59A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Platība m</w:t>
            </w: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6AD9FF9D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Maksimālā ietilpība</w:t>
            </w:r>
          </w:p>
          <w:p w14:paraId="48300C7E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(cilvēku skaits)</w:t>
            </w:r>
          </w:p>
        </w:tc>
        <w:tc>
          <w:tcPr>
            <w:tcW w:w="1134" w:type="dxa"/>
            <w:vAlign w:val="center"/>
            <w:hideMark/>
          </w:tcPr>
          <w:p w14:paraId="765C0B5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1417" w:type="dxa"/>
            <w:vAlign w:val="center"/>
            <w:hideMark/>
          </w:tcPr>
          <w:p w14:paraId="442B48EB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EUR (ar PVN 21%)</w:t>
            </w:r>
          </w:p>
        </w:tc>
        <w:tc>
          <w:tcPr>
            <w:tcW w:w="1418" w:type="dxa"/>
            <w:vAlign w:val="center"/>
            <w:hideMark/>
          </w:tcPr>
          <w:p w14:paraId="4B992A39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EUR (ar 50% atlaidi)</w:t>
            </w: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lv-LV"/>
              </w:rPr>
              <w:t xml:space="preserve"> 1</w:t>
            </w:r>
          </w:p>
        </w:tc>
        <w:tc>
          <w:tcPr>
            <w:tcW w:w="1399" w:type="dxa"/>
            <w:vAlign w:val="center"/>
            <w:hideMark/>
          </w:tcPr>
          <w:p w14:paraId="4DF5B82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EUR (ar 80% atlaidi)</w:t>
            </w: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lv-LV"/>
              </w:rPr>
              <w:t xml:space="preserve"> 2</w:t>
            </w:r>
          </w:p>
        </w:tc>
      </w:tr>
      <w:tr w:rsidR="009256EF" w:rsidRPr="00000711" w14:paraId="41BF5AA1" w14:textId="77777777" w:rsidTr="00BF0E30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20C0E11B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Visa SALA (semināru telpa, sapulču telpa lielā un mazā, virtuve)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22887BFD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279,8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69094EB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100-140</w:t>
            </w:r>
          </w:p>
        </w:tc>
        <w:tc>
          <w:tcPr>
            <w:tcW w:w="1134" w:type="dxa"/>
            <w:noWrap/>
            <w:vAlign w:val="center"/>
            <w:hideMark/>
          </w:tcPr>
          <w:p w14:paraId="251D5FA1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vAlign w:val="center"/>
            <w:hideMark/>
          </w:tcPr>
          <w:p w14:paraId="72EA7036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40,00</w:t>
            </w:r>
          </w:p>
        </w:tc>
        <w:tc>
          <w:tcPr>
            <w:tcW w:w="1418" w:type="dxa"/>
            <w:vAlign w:val="center"/>
            <w:hideMark/>
          </w:tcPr>
          <w:p w14:paraId="26DFC7D2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20,00</w:t>
            </w:r>
          </w:p>
        </w:tc>
        <w:tc>
          <w:tcPr>
            <w:tcW w:w="1399" w:type="dxa"/>
            <w:vAlign w:val="center"/>
            <w:hideMark/>
          </w:tcPr>
          <w:p w14:paraId="72019508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8,00</w:t>
            </w:r>
          </w:p>
        </w:tc>
      </w:tr>
      <w:tr w:rsidR="009256EF" w:rsidRPr="00000711" w14:paraId="3C6493A9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  <w:hideMark/>
          </w:tcPr>
          <w:p w14:paraId="65049CBE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FDFF15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72FD59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1210F24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vAlign w:val="center"/>
            <w:hideMark/>
          </w:tcPr>
          <w:p w14:paraId="2C4EAE66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320,00</w:t>
            </w:r>
          </w:p>
        </w:tc>
        <w:tc>
          <w:tcPr>
            <w:tcW w:w="1418" w:type="dxa"/>
            <w:vAlign w:val="center"/>
            <w:hideMark/>
          </w:tcPr>
          <w:p w14:paraId="61853C1F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160,00</w:t>
            </w:r>
          </w:p>
        </w:tc>
        <w:tc>
          <w:tcPr>
            <w:tcW w:w="1399" w:type="dxa"/>
            <w:vAlign w:val="center"/>
            <w:hideMark/>
          </w:tcPr>
          <w:p w14:paraId="4F604C86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64,00</w:t>
            </w:r>
          </w:p>
        </w:tc>
      </w:tr>
      <w:tr w:rsidR="009256EF" w:rsidRPr="00000711" w14:paraId="6CB2978C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79819235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Semināru telpa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7AD2F6F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216,2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A591104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100-140</w:t>
            </w:r>
          </w:p>
        </w:tc>
        <w:tc>
          <w:tcPr>
            <w:tcW w:w="1134" w:type="dxa"/>
            <w:noWrap/>
            <w:vAlign w:val="center"/>
            <w:hideMark/>
          </w:tcPr>
          <w:p w14:paraId="15EE6B3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76950A7A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25,00</w:t>
            </w:r>
          </w:p>
        </w:tc>
        <w:tc>
          <w:tcPr>
            <w:tcW w:w="1418" w:type="dxa"/>
            <w:vAlign w:val="center"/>
            <w:hideMark/>
          </w:tcPr>
          <w:p w14:paraId="4EBFEC2C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12,50</w:t>
            </w:r>
          </w:p>
        </w:tc>
        <w:tc>
          <w:tcPr>
            <w:tcW w:w="1399" w:type="dxa"/>
            <w:vAlign w:val="center"/>
            <w:hideMark/>
          </w:tcPr>
          <w:p w14:paraId="33D4259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5,00</w:t>
            </w:r>
          </w:p>
        </w:tc>
      </w:tr>
      <w:tr w:rsidR="009256EF" w:rsidRPr="00000711" w14:paraId="5BE1E090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  <w:hideMark/>
          </w:tcPr>
          <w:p w14:paraId="1A6CCE92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3D827E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1C3F23D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530FF8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33C7B111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200,00</w:t>
            </w:r>
          </w:p>
        </w:tc>
        <w:tc>
          <w:tcPr>
            <w:tcW w:w="1418" w:type="dxa"/>
            <w:vAlign w:val="center"/>
            <w:hideMark/>
          </w:tcPr>
          <w:p w14:paraId="0EE0968C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100,00</w:t>
            </w:r>
          </w:p>
        </w:tc>
        <w:tc>
          <w:tcPr>
            <w:tcW w:w="1399" w:type="dxa"/>
            <w:vAlign w:val="center"/>
            <w:hideMark/>
          </w:tcPr>
          <w:p w14:paraId="58FC2345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9256EF" w:rsidRPr="00000711" w14:paraId="36E1654B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0370CDA2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Semināru telpa 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198D60B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98,2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5FC54F42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134" w:type="dxa"/>
            <w:noWrap/>
            <w:vAlign w:val="center"/>
            <w:hideMark/>
          </w:tcPr>
          <w:p w14:paraId="2F7E88F2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245869F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418" w:type="dxa"/>
            <w:vAlign w:val="center"/>
            <w:hideMark/>
          </w:tcPr>
          <w:p w14:paraId="6EE59EC3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7,50</w:t>
            </w:r>
          </w:p>
        </w:tc>
        <w:tc>
          <w:tcPr>
            <w:tcW w:w="1399" w:type="dxa"/>
            <w:vAlign w:val="center"/>
            <w:hideMark/>
          </w:tcPr>
          <w:p w14:paraId="7A0898F8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9256EF" w:rsidRPr="00000711" w14:paraId="2785D0DF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  <w:hideMark/>
          </w:tcPr>
          <w:p w14:paraId="7FF7CA2E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14420B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36793D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8D5D973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7F03E4C5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120,00</w:t>
            </w:r>
          </w:p>
        </w:tc>
        <w:tc>
          <w:tcPr>
            <w:tcW w:w="1418" w:type="dxa"/>
            <w:vAlign w:val="center"/>
            <w:hideMark/>
          </w:tcPr>
          <w:p w14:paraId="536C4B28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60,00</w:t>
            </w:r>
          </w:p>
        </w:tc>
        <w:tc>
          <w:tcPr>
            <w:tcW w:w="1399" w:type="dxa"/>
            <w:vAlign w:val="center"/>
            <w:hideMark/>
          </w:tcPr>
          <w:p w14:paraId="7C8C2574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24,00</w:t>
            </w:r>
          </w:p>
        </w:tc>
      </w:tr>
      <w:tr w:rsidR="009256EF" w:rsidRPr="00000711" w14:paraId="474A6907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53AACD0F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Sapulču telpa mazā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5A898E51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15,3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A259968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14:paraId="3F7B1EC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71584C4C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4,00</w:t>
            </w:r>
          </w:p>
        </w:tc>
        <w:tc>
          <w:tcPr>
            <w:tcW w:w="1418" w:type="dxa"/>
            <w:vAlign w:val="center"/>
            <w:hideMark/>
          </w:tcPr>
          <w:p w14:paraId="6373EC8E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399" w:type="dxa"/>
            <w:vAlign w:val="center"/>
            <w:hideMark/>
          </w:tcPr>
          <w:p w14:paraId="7146E19E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0,80</w:t>
            </w:r>
          </w:p>
        </w:tc>
      </w:tr>
      <w:tr w:rsidR="009256EF" w:rsidRPr="00000711" w14:paraId="59D43F5E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  <w:hideMark/>
          </w:tcPr>
          <w:p w14:paraId="0CAC0A7C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F1B01D3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A21E023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0A04215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2F13EF4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32,00</w:t>
            </w:r>
          </w:p>
        </w:tc>
        <w:tc>
          <w:tcPr>
            <w:tcW w:w="1418" w:type="dxa"/>
            <w:vAlign w:val="center"/>
            <w:hideMark/>
          </w:tcPr>
          <w:p w14:paraId="2ACF53DB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16,00</w:t>
            </w:r>
          </w:p>
        </w:tc>
        <w:tc>
          <w:tcPr>
            <w:tcW w:w="1399" w:type="dxa"/>
            <w:vAlign w:val="center"/>
            <w:hideMark/>
          </w:tcPr>
          <w:p w14:paraId="6ED0C2F6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6,40</w:t>
            </w:r>
          </w:p>
        </w:tc>
      </w:tr>
      <w:tr w:rsidR="009256EF" w:rsidRPr="00000711" w14:paraId="674B806F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3E8FD77C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Sapulču telpa lielā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2F4A7DD3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31,1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57C9CFF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14:paraId="743BCEB4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3575D464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6,00</w:t>
            </w:r>
          </w:p>
        </w:tc>
        <w:tc>
          <w:tcPr>
            <w:tcW w:w="1418" w:type="dxa"/>
            <w:vAlign w:val="center"/>
            <w:hideMark/>
          </w:tcPr>
          <w:p w14:paraId="0461C3B1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399" w:type="dxa"/>
            <w:vAlign w:val="center"/>
            <w:hideMark/>
          </w:tcPr>
          <w:p w14:paraId="359D1C17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1,20</w:t>
            </w:r>
          </w:p>
        </w:tc>
      </w:tr>
      <w:tr w:rsidR="009256EF" w:rsidRPr="00000711" w14:paraId="613849A1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  <w:hideMark/>
          </w:tcPr>
          <w:p w14:paraId="568B199C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162561B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8E1AE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AAA181B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6A6BB300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48,00</w:t>
            </w:r>
          </w:p>
        </w:tc>
        <w:tc>
          <w:tcPr>
            <w:tcW w:w="1418" w:type="dxa"/>
            <w:vAlign w:val="center"/>
            <w:hideMark/>
          </w:tcPr>
          <w:p w14:paraId="40BEF61E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24,00</w:t>
            </w:r>
          </w:p>
        </w:tc>
        <w:tc>
          <w:tcPr>
            <w:tcW w:w="1399" w:type="dxa"/>
            <w:vAlign w:val="center"/>
            <w:hideMark/>
          </w:tcPr>
          <w:p w14:paraId="78F4C50C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9256EF" w:rsidRPr="00000711" w14:paraId="130802B1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476D9176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Virtuve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51722BE4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17,2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40AA35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8-10</w:t>
            </w:r>
          </w:p>
        </w:tc>
        <w:tc>
          <w:tcPr>
            <w:tcW w:w="1134" w:type="dxa"/>
            <w:noWrap/>
            <w:vAlign w:val="center"/>
            <w:hideMark/>
          </w:tcPr>
          <w:p w14:paraId="472A294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377FA593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7,00</w:t>
            </w:r>
          </w:p>
        </w:tc>
        <w:tc>
          <w:tcPr>
            <w:tcW w:w="1418" w:type="dxa"/>
            <w:vAlign w:val="center"/>
            <w:hideMark/>
          </w:tcPr>
          <w:p w14:paraId="36FFC521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3,50</w:t>
            </w:r>
          </w:p>
        </w:tc>
        <w:tc>
          <w:tcPr>
            <w:tcW w:w="1399" w:type="dxa"/>
            <w:vAlign w:val="center"/>
            <w:hideMark/>
          </w:tcPr>
          <w:p w14:paraId="0D3A5CD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1,40</w:t>
            </w:r>
          </w:p>
        </w:tc>
      </w:tr>
      <w:tr w:rsidR="009256EF" w:rsidRPr="00000711" w14:paraId="1AD78832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vAlign w:val="center"/>
            <w:hideMark/>
          </w:tcPr>
          <w:p w14:paraId="355BF354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92ABBE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CD363C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4A79545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0C1658F4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56,00</w:t>
            </w:r>
          </w:p>
        </w:tc>
        <w:tc>
          <w:tcPr>
            <w:tcW w:w="1418" w:type="dxa"/>
            <w:vAlign w:val="center"/>
            <w:hideMark/>
          </w:tcPr>
          <w:p w14:paraId="505F36CC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28,00</w:t>
            </w:r>
          </w:p>
        </w:tc>
        <w:tc>
          <w:tcPr>
            <w:tcW w:w="1399" w:type="dxa"/>
            <w:vAlign w:val="center"/>
            <w:hideMark/>
          </w:tcPr>
          <w:p w14:paraId="6FC605C0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11,20</w:t>
            </w:r>
          </w:p>
        </w:tc>
      </w:tr>
      <w:tr w:rsidR="009256EF" w:rsidRPr="00000711" w14:paraId="02BE6151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vAlign w:val="center"/>
            <w:hideMark/>
          </w:tcPr>
          <w:p w14:paraId="599099F0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Attālinātā darba vieta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14:paraId="1B6E79BC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15,6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7840EA33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6D659C9D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6E361710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0,30</w:t>
            </w:r>
          </w:p>
        </w:tc>
        <w:tc>
          <w:tcPr>
            <w:tcW w:w="1418" w:type="dxa"/>
            <w:vAlign w:val="center"/>
            <w:hideMark/>
          </w:tcPr>
          <w:p w14:paraId="2C1FAD89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399" w:type="dxa"/>
            <w:vAlign w:val="center"/>
            <w:hideMark/>
          </w:tcPr>
          <w:p w14:paraId="565129D3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0,06</w:t>
            </w:r>
          </w:p>
        </w:tc>
      </w:tr>
      <w:tr w:rsidR="009256EF" w:rsidRPr="00000711" w14:paraId="3697E4A2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5CA815D9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hideMark/>
          </w:tcPr>
          <w:p w14:paraId="375B133B" w14:textId="77777777" w:rsidR="009256EF" w:rsidRPr="00000711" w:rsidRDefault="009256EF" w:rsidP="00BF0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hideMark/>
          </w:tcPr>
          <w:p w14:paraId="3BFD9068" w14:textId="77777777" w:rsidR="009256EF" w:rsidRPr="00000711" w:rsidRDefault="009256EF" w:rsidP="00BF0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999B4AF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68B55B50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418" w:type="dxa"/>
            <w:vAlign w:val="center"/>
            <w:hideMark/>
          </w:tcPr>
          <w:p w14:paraId="107CFFAE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399" w:type="dxa"/>
            <w:vAlign w:val="center"/>
            <w:hideMark/>
          </w:tcPr>
          <w:p w14:paraId="2669741B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0,60</w:t>
            </w:r>
          </w:p>
        </w:tc>
      </w:tr>
      <w:tr w:rsidR="009256EF" w:rsidRPr="00000711" w14:paraId="01A7C809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hideMark/>
          </w:tcPr>
          <w:p w14:paraId="7C2AF6DC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Merge/>
            <w:hideMark/>
          </w:tcPr>
          <w:p w14:paraId="174D583A" w14:textId="77777777" w:rsidR="009256EF" w:rsidRPr="00000711" w:rsidRDefault="009256EF" w:rsidP="00BF0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hideMark/>
          </w:tcPr>
          <w:p w14:paraId="0D3E57C1" w14:textId="77777777" w:rsidR="009256EF" w:rsidRPr="00000711" w:rsidRDefault="009256EF" w:rsidP="00BF0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2BB940C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  <w:p w14:paraId="7CF819CA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(20 darba dienas)</w:t>
            </w:r>
          </w:p>
        </w:tc>
        <w:tc>
          <w:tcPr>
            <w:tcW w:w="1417" w:type="dxa"/>
            <w:noWrap/>
            <w:vAlign w:val="center"/>
            <w:hideMark/>
          </w:tcPr>
          <w:p w14:paraId="55025D5B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60,00</w:t>
            </w:r>
          </w:p>
        </w:tc>
        <w:tc>
          <w:tcPr>
            <w:tcW w:w="1418" w:type="dxa"/>
            <w:vAlign w:val="center"/>
            <w:hideMark/>
          </w:tcPr>
          <w:p w14:paraId="56C45961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30,00</w:t>
            </w:r>
          </w:p>
        </w:tc>
        <w:tc>
          <w:tcPr>
            <w:tcW w:w="1399" w:type="dxa"/>
            <w:vAlign w:val="center"/>
            <w:hideMark/>
          </w:tcPr>
          <w:p w14:paraId="45A5B89A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12,00</w:t>
            </w:r>
          </w:p>
        </w:tc>
      </w:tr>
    </w:tbl>
    <w:p w14:paraId="1CB1BDD0" w14:textId="77777777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CBA569" w14:textId="77777777" w:rsidR="009256EF" w:rsidRPr="00000711" w:rsidRDefault="009256EF" w:rsidP="009256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t>1</w:t>
      </w:r>
      <w:r w:rsidRPr="000007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 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50 % atlaide tiek piemērota Limbažu novadā reģistrētajiem uzņēmumiem un NVO, kā arī nomājot telpas vismaz 3 reizes mēnesī (iepriekš slēdzot telpu nomas līgumu).</w:t>
      </w:r>
    </w:p>
    <w:p w14:paraId="4495921C" w14:textId="77777777" w:rsidR="009256EF" w:rsidRPr="00000711" w:rsidRDefault="009256EF" w:rsidP="009256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t xml:space="preserve">2 </w:t>
      </w:r>
      <w:r w:rsidRPr="000007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80% atlaide tiek piemērota jaunajiem Limbažu novada uzņēmumiem pirmajos trīs darbības gados.</w:t>
      </w:r>
    </w:p>
    <w:p w14:paraId="39131FFA" w14:textId="77777777" w:rsidR="009256EF" w:rsidRPr="00000711" w:rsidRDefault="009256EF" w:rsidP="009256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t>3</w:t>
      </w: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Nakts stundās no plkst. 22.00 līdz 6.00 telpu nomas cena tiek piemērota dubultā.</w:t>
      </w:r>
    </w:p>
    <w:p w14:paraId="2DBE9190" w14:textId="77777777" w:rsidR="009256EF" w:rsidRPr="00000711" w:rsidRDefault="009256EF" w:rsidP="009256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t>4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Telpu nomas maksa par dienu tiek piemērota, ja telpas tiek nomātās vairāk par 8 stundām.</w:t>
      </w:r>
    </w:p>
    <w:p w14:paraId="02E30FB1" w14:textId="77777777" w:rsidR="009256EF" w:rsidRPr="00000711" w:rsidRDefault="009256EF" w:rsidP="009256E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DDACA0" w14:textId="77777777" w:rsidR="009256EF" w:rsidRPr="00000711" w:rsidRDefault="009256EF" w:rsidP="009256EF">
      <w:pPr>
        <w:ind w:right="-1"/>
        <w:jc w:val="both"/>
        <w:rPr>
          <w:rFonts w:ascii="Times New Roman" w:hAnsi="Times New Roman"/>
          <w:sz w:val="24"/>
        </w:rPr>
      </w:pPr>
      <w:r w:rsidRPr="00000711">
        <w:rPr>
          <w:rFonts w:ascii="Times New Roman" w:hAnsi="Times New Roman"/>
          <w:sz w:val="24"/>
        </w:rPr>
        <w:t xml:space="preserve">*Nomājot telpas bezmaksas ir pieejams šāds aprīkojums: </w:t>
      </w:r>
      <w:proofErr w:type="spellStart"/>
      <w:r w:rsidRPr="00000711">
        <w:rPr>
          <w:rFonts w:ascii="Times New Roman" w:hAnsi="Times New Roman"/>
          <w:sz w:val="24"/>
        </w:rPr>
        <w:t>Wi-Fi</w:t>
      </w:r>
      <w:proofErr w:type="spellEnd"/>
      <w:r w:rsidRPr="00000711">
        <w:rPr>
          <w:rFonts w:ascii="Times New Roman" w:hAnsi="Times New Roman"/>
          <w:sz w:val="24"/>
        </w:rPr>
        <w:t xml:space="preserve">, projektors, ekrāns, prezentāciju pults, </w:t>
      </w:r>
      <w:proofErr w:type="spellStart"/>
      <w:r w:rsidRPr="00000711">
        <w:rPr>
          <w:rFonts w:ascii="Times New Roman" w:hAnsi="Times New Roman"/>
          <w:sz w:val="24"/>
        </w:rPr>
        <w:t>flipchart</w:t>
      </w:r>
      <w:proofErr w:type="spellEnd"/>
      <w:r w:rsidRPr="00000711">
        <w:rPr>
          <w:rFonts w:ascii="Times New Roman" w:hAnsi="Times New Roman"/>
          <w:sz w:val="24"/>
        </w:rPr>
        <w:t xml:space="preserve"> tāfele ar papīru un marķieriem, audio sistēma ar tumbām un skaņu pulti (ar vai bez mikrofoniem).</w:t>
      </w:r>
    </w:p>
    <w:p w14:paraId="7152C767" w14:textId="77777777" w:rsidR="00A27A65" w:rsidRDefault="00A27A65" w:rsidP="009256EF">
      <w:pPr>
        <w:ind w:left="-1276" w:right="-1333"/>
        <w:jc w:val="both"/>
        <w:rPr>
          <w:rFonts w:ascii="Times New Roman" w:hAnsi="Times New Roman"/>
          <w:sz w:val="24"/>
        </w:rPr>
        <w:sectPr w:rsidR="00A27A65" w:rsidSect="00000711">
          <w:head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95BEB62" w14:textId="43FD0962" w:rsidR="009256EF" w:rsidRPr="00000711" w:rsidRDefault="009256EF" w:rsidP="009256E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1.pielikuma 2.daļa</w:t>
      </w:r>
    </w:p>
    <w:p w14:paraId="2661BBDC" w14:textId="77777777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domes </w:t>
      </w:r>
    </w:p>
    <w:p w14:paraId="113B0F75" w14:textId="77777777" w:rsidR="00A27A65" w:rsidRPr="00000711" w:rsidRDefault="00A27A65" w:rsidP="00A2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26.08.2021. sēdes lēmum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223</w:t>
      </w:r>
    </w:p>
    <w:p w14:paraId="21CCAC5C" w14:textId="77777777" w:rsidR="00A27A65" w:rsidRPr="00E56361" w:rsidRDefault="00A27A65" w:rsidP="00A2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Nr.5, 11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4A73A529" w14:textId="77777777" w:rsidR="009256EF" w:rsidRPr="00000711" w:rsidRDefault="009256EF" w:rsidP="009256E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93F966" w14:textId="77777777" w:rsidR="009256EF" w:rsidRPr="00000711" w:rsidRDefault="009256EF" w:rsidP="009256EF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Sarakstatabula6krsaina-izclums32"/>
        <w:tblW w:w="9775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742"/>
        <w:gridCol w:w="1795"/>
        <w:gridCol w:w="1701"/>
        <w:gridCol w:w="1842"/>
        <w:gridCol w:w="1695"/>
      </w:tblGrid>
      <w:tr w:rsidR="009256EF" w:rsidRPr="00000711" w14:paraId="35B8EF61" w14:textId="77777777" w:rsidTr="00BF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5" w:type="dxa"/>
            <w:gridSpan w:val="5"/>
            <w:noWrap/>
            <w:hideMark/>
          </w:tcPr>
          <w:p w14:paraId="34D3A049" w14:textId="77777777" w:rsidR="009256EF" w:rsidRPr="00000711" w:rsidRDefault="009256EF" w:rsidP="00BF0E30">
            <w:pPr>
              <w:ind w:left="-113"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Tehniskie biroja pakalpojumi</w:t>
            </w:r>
          </w:p>
        </w:tc>
      </w:tr>
      <w:tr w:rsidR="009256EF" w:rsidRPr="00000711" w14:paraId="382F0588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 w:val="restart"/>
            <w:noWrap/>
            <w:hideMark/>
          </w:tcPr>
          <w:p w14:paraId="12C4346F" w14:textId="77777777" w:rsidR="009256EF" w:rsidRPr="00000711" w:rsidRDefault="009256EF" w:rsidP="00BF0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3496" w:type="dxa"/>
            <w:gridSpan w:val="2"/>
            <w:noWrap/>
            <w:hideMark/>
          </w:tcPr>
          <w:p w14:paraId="0C1C31C9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A4</w:t>
            </w:r>
          </w:p>
        </w:tc>
        <w:tc>
          <w:tcPr>
            <w:tcW w:w="3537" w:type="dxa"/>
            <w:gridSpan w:val="2"/>
            <w:noWrap/>
            <w:hideMark/>
          </w:tcPr>
          <w:p w14:paraId="30AEACFC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A3</w:t>
            </w:r>
          </w:p>
        </w:tc>
      </w:tr>
      <w:tr w:rsidR="009256EF" w:rsidRPr="00000711" w14:paraId="074773E0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/>
            <w:hideMark/>
          </w:tcPr>
          <w:p w14:paraId="7EF3FEE8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95" w:type="dxa"/>
            <w:noWrap/>
            <w:hideMark/>
          </w:tcPr>
          <w:p w14:paraId="7186F593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vienpusēji</w:t>
            </w:r>
          </w:p>
        </w:tc>
        <w:tc>
          <w:tcPr>
            <w:tcW w:w="1701" w:type="dxa"/>
            <w:noWrap/>
            <w:hideMark/>
          </w:tcPr>
          <w:p w14:paraId="61880CCD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divpusēji</w:t>
            </w:r>
          </w:p>
        </w:tc>
        <w:tc>
          <w:tcPr>
            <w:tcW w:w="1842" w:type="dxa"/>
            <w:noWrap/>
            <w:hideMark/>
          </w:tcPr>
          <w:p w14:paraId="3B5FECD0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vienpusēji</w:t>
            </w:r>
          </w:p>
        </w:tc>
        <w:tc>
          <w:tcPr>
            <w:tcW w:w="1695" w:type="dxa"/>
            <w:noWrap/>
            <w:hideMark/>
          </w:tcPr>
          <w:p w14:paraId="6A0CC752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divpusēji</w:t>
            </w:r>
          </w:p>
        </w:tc>
      </w:tr>
      <w:tr w:rsidR="009256EF" w:rsidRPr="00000711" w14:paraId="590130C7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vMerge/>
            <w:hideMark/>
          </w:tcPr>
          <w:p w14:paraId="5B351F1B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95" w:type="dxa"/>
            <w:noWrap/>
            <w:hideMark/>
          </w:tcPr>
          <w:p w14:paraId="1FF73AA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EUR (ar PVN)</w:t>
            </w:r>
          </w:p>
        </w:tc>
        <w:tc>
          <w:tcPr>
            <w:tcW w:w="1701" w:type="dxa"/>
            <w:noWrap/>
            <w:hideMark/>
          </w:tcPr>
          <w:p w14:paraId="6A911AF0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EUR (ar PVN)</w:t>
            </w:r>
          </w:p>
        </w:tc>
        <w:tc>
          <w:tcPr>
            <w:tcW w:w="1842" w:type="dxa"/>
            <w:noWrap/>
            <w:hideMark/>
          </w:tcPr>
          <w:p w14:paraId="5BC34AF8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EUR (ar PVN)</w:t>
            </w:r>
          </w:p>
        </w:tc>
        <w:tc>
          <w:tcPr>
            <w:tcW w:w="1695" w:type="dxa"/>
            <w:noWrap/>
            <w:hideMark/>
          </w:tcPr>
          <w:p w14:paraId="6E1FE781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EUR (ar PVN)</w:t>
            </w:r>
          </w:p>
        </w:tc>
      </w:tr>
      <w:tr w:rsidR="009256EF" w:rsidRPr="00000711" w14:paraId="65B1E565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5" w:type="dxa"/>
            <w:gridSpan w:val="5"/>
            <w:noWrap/>
            <w:hideMark/>
          </w:tcPr>
          <w:p w14:paraId="1DB9384F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Kopēšana/drukāšana melnbalta (1 lapa)</w:t>
            </w:r>
          </w:p>
        </w:tc>
      </w:tr>
      <w:tr w:rsidR="009256EF" w:rsidRPr="00000711" w14:paraId="2BD3F549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74BA4475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Teksts</w:t>
            </w:r>
          </w:p>
        </w:tc>
        <w:tc>
          <w:tcPr>
            <w:tcW w:w="1795" w:type="dxa"/>
            <w:noWrap/>
            <w:vAlign w:val="center"/>
            <w:hideMark/>
          </w:tcPr>
          <w:p w14:paraId="28E1248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701" w:type="dxa"/>
            <w:noWrap/>
            <w:vAlign w:val="center"/>
            <w:hideMark/>
          </w:tcPr>
          <w:p w14:paraId="6042473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1842" w:type="dxa"/>
            <w:noWrap/>
            <w:vAlign w:val="center"/>
            <w:hideMark/>
          </w:tcPr>
          <w:p w14:paraId="69B23D4D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1695" w:type="dxa"/>
            <w:noWrap/>
            <w:vAlign w:val="center"/>
            <w:hideMark/>
          </w:tcPr>
          <w:p w14:paraId="75E6A1A4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0,32</w:t>
            </w:r>
          </w:p>
        </w:tc>
      </w:tr>
      <w:tr w:rsidR="009256EF" w:rsidRPr="00000711" w14:paraId="414EEDB8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7D75A9CA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Attēls (ar vai bez teksta) </w:t>
            </w:r>
          </w:p>
          <w:p w14:paraId="25FF9409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 lapa</w:t>
            </w:r>
          </w:p>
        </w:tc>
        <w:tc>
          <w:tcPr>
            <w:tcW w:w="1795" w:type="dxa"/>
            <w:noWrap/>
            <w:vAlign w:val="center"/>
            <w:hideMark/>
          </w:tcPr>
          <w:p w14:paraId="58DED53D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1701" w:type="dxa"/>
            <w:noWrap/>
            <w:vAlign w:val="center"/>
            <w:hideMark/>
          </w:tcPr>
          <w:p w14:paraId="77A7794C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0,32</w:t>
            </w:r>
          </w:p>
        </w:tc>
        <w:tc>
          <w:tcPr>
            <w:tcW w:w="1842" w:type="dxa"/>
            <w:noWrap/>
            <w:vAlign w:val="center"/>
            <w:hideMark/>
          </w:tcPr>
          <w:p w14:paraId="6EE54747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0,32</w:t>
            </w:r>
          </w:p>
        </w:tc>
        <w:tc>
          <w:tcPr>
            <w:tcW w:w="1695" w:type="dxa"/>
            <w:noWrap/>
            <w:vAlign w:val="center"/>
            <w:hideMark/>
          </w:tcPr>
          <w:p w14:paraId="6CEC5392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0,64</w:t>
            </w:r>
          </w:p>
        </w:tc>
      </w:tr>
      <w:tr w:rsidR="009256EF" w:rsidRPr="00000711" w14:paraId="54DE3E21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5" w:type="dxa"/>
            <w:gridSpan w:val="5"/>
            <w:noWrap/>
            <w:hideMark/>
          </w:tcPr>
          <w:p w14:paraId="0C02720E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Kopēšana/drukāšana krāsaina (1 lapa)</w:t>
            </w:r>
          </w:p>
        </w:tc>
      </w:tr>
      <w:tr w:rsidR="009256EF" w:rsidRPr="00000711" w14:paraId="3073CC51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6D0256EC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Teksts</w:t>
            </w:r>
          </w:p>
        </w:tc>
        <w:tc>
          <w:tcPr>
            <w:tcW w:w="1795" w:type="dxa"/>
            <w:noWrap/>
            <w:vAlign w:val="center"/>
            <w:hideMark/>
          </w:tcPr>
          <w:p w14:paraId="0DCD7AE6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1701" w:type="dxa"/>
            <w:noWrap/>
            <w:vAlign w:val="center"/>
            <w:hideMark/>
          </w:tcPr>
          <w:p w14:paraId="1EF0710B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1842" w:type="dxa"/>
            <w:noWrap/>
            <w:vAlign w:val="center"/>
            <w:hideMark/>
          </w:tcPr>
          <w:p w14:paraId="092D8246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1695" w:type="dxa"/>
            <w:noWrap/>
            <w:vAlign w:val="center"/>
            <w:hideMark/>
          </w:tcPr>
          <w:p w14:paraId="31EB71A6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9256EF" w:rsidRPr="00000711" w14:paraId="48A06A02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6571FF30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Attēls (ar vai bez teksta) </w:t>
            </w:r>
          </w:p>
          <w:p w14:paraId="6157C461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¼ lapa</w:t>
            </w:r>
          </w:p>
        </w:tc>
        <w:tc>
          <w:tcPr>
            <w:tcW w:w="1795" w:type="dxa"/>
            <w:noWrap/>
            <w:vAlign w:val="center"/>
            <w:hideMark/>
          </w:tcPr>
          <w:p w14:paraId="7F15A54F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0,25</w:t>
            </w:r>
          </w:p>
        </w:tc>
        <w:tc>
          <w:tcPr>
            <w:tcW w:w="1701" w:type="dxa"/>
            <w:noWrap/>
            <w:vAlign w:val="center"/>
            <w:hideMark/>
          </w:tcPr>
          <w:p w14:paraId="7C73D35D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1842" w:type="dxa"/>
            <w:noWrap/>
            <w:vAlign w:val="center"/>
            <w:hideMark/>
          </w:tcPr>
          <w:p w14:paraId="028086CF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1695" w:type="dxa"/>
            <w:noWrap/>
            <w:vAlign w:val="center"/>
            <w:hideMark/>
          </w:tcPr>
          <w:p w14:paraId="17C05598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9256EF" w:rsidRPr="00000711" w14:paraId="4790B525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4D0FABA3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Attēls (ar vai bez teksta) </w:t>
            </w:r>
          </w:p>
          <w:p w14:paraId="6D386F0B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½ lapa</w:t>
            </w:r>
          </w:p>
        </w:tc>
        <w:tc>
          <w:tcPr>
            <w:tcW w:w="1795" w:type="dxa"/>
            <w:noWrap/>
            <w:vAlign w:val="center"/>
            <w:hideMark/>
          </w:tcPr>
          <w:p w14:paraId="2908E93E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1701" w:type="dxa"/>
            <w:noWrap/>
            <w:vAlign w:val="center"/>
            <w:hideMark/>
          </w:tcPr>
          <w:p w14:paraId="55E8A6E5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842" w:type="dxa"/>
            <w:noWrap/>
            <w:vAlign w:val="center"/>
            <w:hideMark/>
          </w:tcPr>
          <w:p w14:paraId="595781F2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695" w:type="dxa"/>
            <w:noWrap/>
            <w:vAlign w:val="center"/>
            <w:hideMark/>
          </w:tcPr>
          <w:p w14:paraId="0D210A31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9256EF" w:rsidRPr="00000711" w14:paraId="2A381A07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158220E3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Attēls (ar vai bez teksta) </w:t>
            </w:r>
          </w:p>
          <w:p w14:paraId="3C347324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¾ lapa</w:t>
            </w:r>
          </w:p>
        </w:tc>
        <w:tc>
          <w:tcPr>
            <w:tcW w:w="1795" w:type="dxa"/>
            <w:noWrap/>
            <w:vAlign w:val="center"/>
            <w:hideMark/>
          </w:tcPr>
          <w:p w14:paraId="4331FB4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  <w:tc>
          <w:tcPr>
            <w:tcW w:w="1701" w:type="dxa"/>
            <w:noWrap/>
            <w:vAlign w:val="center"/>
            <w:hideMark/>
          </w:tcPr>
          <w:p w14:paraId="6F81AC68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842" w:type="dxa"/>
            <w:noWrap/>
            <w:vAlign w:val="center"/>
            <w:hideMark/>
          </w:tcPr>
          <w:p w14:paraId="5CBFF4E9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695" w:type="dxa"/>
            <w:noWrap/>
            <w:vAlign w:val="center"/>
            <w:hideMark/>
          </w:tcPr>
          <w:p w14:paraId="4B237479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9256EF" w:rsidRPr="00000711" w14:paraId="23F00A44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454B50BD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Attēls (ar vai bez teksta) </w:t>
            </w:r>
          </w:p>
          <w:p w14:paraId="75654676" w14:textId="77777777" w:rsidR="009256EF" w:rsidRPr="00000711" w:rsidRDefault="009256EF" w:rsidP="00BF0E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 lapa</w:t>
            </w:r>
          </w:p>
        </w:tc>
        <w:tc>
          <w:tcPr>
            <w:tcW w:w="1795" w:type="dxa"/>
            <w:noWrap/>
            <w:vAlign w:val="center"/>
            <w:hideMark/>
          </w:tcPr>
          <w:p w14:paraId="494D1AF9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701" w:type="dxa"/>
            <w:noWrap/>
            <w:vAlign w:val="center"/>
            <w:hideMark/>
          </w:tcPr>
          <w:p w14:paraId="2E1090E9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842" w:type="dxa"/>
            <w:noWrap/>
            <w:vAlign w:val="center"/>
            <w:hideMark/>
          </w:tcPr>
          <w:p w14:paraId="4C93F4F0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695" w:type="dxa"/>
            <w:noWrap/>
            <w:vAlign w:val="center"/>
            <w:hideMark/>
          </w:tcPr>
          <w:p w14:paraId="6328812A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4,00</w:t>
            </w:r>
          </w:p>
        </w:tc>
      </w:tr>
      <w:tr w:rsidR="009256EF" w:rsidRPr="00000711" w14:paraId="0239C755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4AC69CA8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Skenēšana (1 lapa)</w:t>
            </w:r>
          </w:p>
        </w:tc>
        <w:tc>
          <w:tcPr>
            <w:tcW w:w="3496" w:type="dxa"/>
            <w:gridSpan w:val="2"/>
            <w:noWrap/>
            <w:vAlign w:val="center"/>
            <w:hideMark/>
          </w:tcPr>
          <w:p w14:paraId="4074BD96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3537" w:type="dxa"/>
            <w:gridSpan w:val="2"/>
            <w:noWrap/>
            <w:vAlign w:val="center"/>
            <w:hideMark/>
          </w:tcPr>
          <w:p w14:paraId="5999F430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0,30</w:t>
            </w:r>
          </w:p>
        </w:tc>
      </w:tr>
      <w:tr w:rsidR="009256EF" w:rsidRPr="00000711" w14:paraId="2E755E48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7DA0BEF3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Laminēšana (1 lapa)</w:t>
            </w:r>
          </w:p>
        </w:tc>
        <w:tc>
          <w:tcPr>
            <w:tcW w:w="3496" w:type="dxa"/>
            <w:gridSpan w:val="2"/>
            <w:noWrap/>
            <w:vAlign w:val="center"/>
            <w:hideMark/>
          </w:tcPr>
          <w:p w14:paraId="1ACA5D87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</w:t>
            </w:r>
          </w:p>
        </w:tc>
        <w:tc>
          <w:tcPr>
            <w:tcW w:w="3537" w:type="dxa"/>
            <w:gridSpan w:val="2"/>
            <w:noWrap/>
            <w:vAlign w:val="center"/>
            <w:hideMark/>
          </w:tcPr>
          <w:p w14:paraId="6072C827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9256EF" w:rsidRPr="00000711" w14:paraId="30698C5D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67AEA906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Iesiešana (līdz 100 lapām)</w:t>
            </w:r>
          </w:p>
        </w:tc>
        <w:tc>
          <w:tcPr>
            <w:tcW w:w="3496" w:type="dxa"/>
            <w:gridSpan w:val="2"/>
            <w:noWrap/>
            <w:vAlign w:val="center"/>
            <w:hideMark/>
          </w:tcPr>
          <w:p w14:paraId="3297463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3537" w:type="dxa"/>
            <w:gridSpan w:val="2"/>
            <w:noWrap/>
            <w:vAlign w:val="center"/>
            <w:hideMark/>
          </w:tcPr>
          <w:p w14:paraId="706D693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9256EF" w:rsidRPr="00000711" w14:paraId="1F2B3A29" w14:textId="77777777" w:rsidTr="00BF0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5C3AA686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Iesiešana (101-199 lapas)</w:t>
            </w:r>
          </w:p>
        </w:tc>
        <w:tc>
          <w:tcPr>
            <w:tcW w:w="3496" w:type="dxa"/>
            <w:gridSpan w:val="2"/>
            <w:noWrap/>
            <w:vAlign w:val="center"/>
            <w:hideMark/>
          </w:tcPr>
          <w:p w14:paraId="51133B3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3537" w:type="dxa"/>
            <w:gridSpan w:val="2"/>
            <w:noWrap/>
            <w:vAlign w:val="center"/>
            <w:hideMark/>
          </w:tcPr>
          <w:p w14:paraId="69D4AE2F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9256EF" w:rsidRPr="00000711" w14:paraId="78983E9B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2" w:type="dxa"/>
            <w:noWrap/>
            <w:hideMark/>
          </w:tcPr>
          <w:p w14:paraId="5862FEC0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Iesiešana (virs 200 lapām)</w:t>
            </w:r>
          </w:p>
        </w:tc>
        <w:tc>
          <w:tcPr>
            <w:tcW w:w="3496" w:type="dxa"/>
            <w:gridSpan w:val="2"/>
            <w:noWrap/>
            <w:vAlign w:val="center"/>
            <w:hideMark/>
          </w:tcPr>
          <w:p w14:paraId="68D3ED01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3537" w:type="dxa"/>
            <w:gridSpan w:val="2"/>
            <w:noWrap/>
            <w:vAlign w:val="center"/>
            <w:hideMark/>
          </w:tcPr>
          <w:p w14:paraId="253836BA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</w:tbl>
    <w:p w14:paraId="03A6B3A1" w14:textId="77777777" w:rsidR="009256EF" w:rsidRPr="00000711" w:rsidRDefault="009256EF" w:rsidP="009256EF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Sarakstatabula6krsaina-izclums32"/>
        <w:tblW w:w="978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9256EF" w:rsidRPr="00000711" w14:paraId="69532567" w14:textId="77777777" w:rsidTr="00BF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2"/>
            <w:tcBorders>
              <w:bottom w:val="none" w:sz="0" w:space="0" w:color="auto"/>
            </w:tcBorders>
            <w:noWrap/>
            <w:hideMark/>
          </w:tcPr>
          <w:p w14:paraId="2D45C995" w14:textId="77777777" w:rsidR="009256EF" w:rsidRPr="00000711" w:rsidRDefault="009256EF" w:rsidP="00BF0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Citi pakalpojumi</w:t>
            </w:r>
          </w:p>
        </w:tc>
      </w:tr>
      <w:tr w:rsidR="009256EF" w:rsidRPr="00000711" w14:paraId="321245BF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noWrap/>
            <w:hideMark/>
          </w:tcPr>
          <w:p w14:paraId="35CEDD2D" w14:textId="77777777" w:rsidR="009256EF" w:rsidRPr="00000711" w:rsidRDefault="009256EF" w:rsidP="00BF0E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4252" w:type="dxa"/>
            <w:noWrap/>
            <w:hideMark/>
          </w:tcPr>
          <w:p w14:paraId="5C07CB62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EUR (ar PVN 21%)</w:t>
            </w:r>
          </w:p>
        </w:tc>
      </w:tr>
      <w:tr w:rsidR="009256EF" w:rsidRPr="00000711" w14:paraId="2388A683" w14:textId="77777777" w:rsidTr="00BF0E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  <w:hideMark/>
          </w:tcPr>
          <w:p w14:paraId="020A6D62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Dušas izmantošana (30 min, 1 persona)</w:t>
            </w:r>
          </w:p>
        </w:tc>
        <w:tc>
          <w:tcPr>
            <w:tcW w:w="4252" w:type="dxa"/>
            <w:noWrap/>
            <w:vAlign w:val="center"/>
            <w:hideMark/>
          </w:tcPr>
          <w:p w14:paraId="6512F688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2,50</w:t>
            </w:r>
          </w:p>
        </w:tc>
      </w:tr>
      <w:tr w:rsidR="009256EF" w:rsidRPr="00000711" w14:paraId="08B2E228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  <w:hideMark/>
          </w:tcPr>
          <w:p w14:paraId="4C68B7AC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Ekskursija pa SALU (1 persona)</w:t>
            </w:r>
          </w:p>
        </w:tc>
        <w:tc>
          <w:tcPr>
            <w:tcW w:w="4252" w:type="dxa"/>
            <w:noWrap/>
            <w:vAlign w:val="center"/>
            <w:hideMark/>
          </w:tcPr>
          <w:p w14:paraId="685B1148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0,80</w:t>
            </w:r>
          </w:p>
        </w:tc>
      </w:tr>
      <w:tr w:rsidR="009256EF" w:rsidRPr="00000711" w14:paraId="5E634703" w14:textId="77777777" w:rsidTr="00BF0E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  <w:hideMark/>
          </w:tcPr>
          <w:p w14:paraId="519ADAB1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Ekskursija pa SALU + filma par peldošajām salām (1 persona)</w:t>
            </w:r>
          </w:p>
        </w:tc>
        <w:tc>
          <w:tcPr>
            <w:tcW w:w="4252" w:type="dxa"/>
            <w:noWrap/>
            <w:vAlign w:val="center"/>
            <w:hideMark/>
          </w:tcPr>
          <w:p w14:paraId="3CC4A10D" w14:textId="77777777" w:rsidR="009256EF" w:rsidRPr="00000711" w:rsidRDefault="009256EF" w:rsidP="00BF0E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9256EF" w:rsidRPr="00000711" w14:paraId="31238485" w14:textId="77777777" w:rsidTr="00BF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Align w:val="center"/>
          </w:tcPr>
          <w:p w14:paraId="21A82F62" w14:textId="77777777" w:rsidR="009256EF" w:rsidRPr="00000711" w:rsidRDefault="009256EF" w:rsidP="00BF0E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Video konferenču sistēmas noma (1h)</w:t>
            </w:r>
          </w:p>
        </w:tc>
        <w:tc>
          <w:tcPr>
            <w:tcW w:w="4252" w:type="dxa"/>
            <w:noWrap/>
            <w:vAlign w:val="center"/>
          </w:tcPr>
          <w:p w14:paraId="4C2E8EA7" w14:textId="77777777" w:rsidR="009256EF" w:rsidRPr="00000711" w:rsidRDefault="009256EF" w:rsidP="00BF0E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10,00</w:t>
            </w:r>
          </w:p>
        </w:tc>
      </w:tr>
    </w:tbl>
    <w:p w14:paraId="5F8CC95A" w14:textId="77777777" w:rsidR="00A27A65" w:rsidRDefault="00A27A65" w:rsidP="009256EF">
      <w:pPr>
        <w:spacing w:after="0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A27A65" w:rsidSect="00000711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E58B20F" w14:textId="77777777" w:rsidR="009256EF" w:rsidRPr="00000711" w:rsidRDefault="009256EF" w:rsidP="009256EF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2.pielikums</w:t>
      </w:r>
    </w:p>
    <w:p w14:paraId="1BB3AED6" w14:textId="77777777" w:rsidR="009256EF" w:rsidRPr="00000711" w:rsidRDefault="009256EF" w:rsidP="009256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domes </w:t>
      </w:r>
    </w:p>
    <w:p w14:paraId="371558B0" w14:textId="77777777" w:rsidR="00A27A65" w:rsidRPr="00000711" w:rsidRDefault="00A27A65" w:rsidP="00A2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26.08.2021. sēdes lēmum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223</w:t>
      </w:r>
    </w:p>
    <w:p w14:paraId="48F82D5B" w14:textId="77777777" w:rsidR="00A27A65" w:rsidRPr="00E56361" w:rsidRDefault="00A27A65" w:rsidP="00A27A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Nr.5, 11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E56361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3ADE54B1" w14:textId="77777777" w:rsidR="009256EF" w:rsidRPr="00000711" w:rsidRDefault="009256EF" w:rsidP="009256EF">
      <w:pPr>
        <w:spacing w:after="0" w:line="240" w:lineRule="auto"/>
        <w:ind w:right="-1333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63D85F" w14:textId="77777777" w:rsidR="009256EF" w:rsidRPr="00000711" w:rsidRDefault="009256EF" w:rsidP="009256EF">
      <w:pPr>
        <w:spacing w:after="0" w:line="240" w:lineRule="auto"/>
        <w:ind w:left="-1276" w:right="-133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sz w:val="24"/>
          <w:szCs w:val="24"/>
          <w:lang w:eastAsia="lv-LV"/>
        </w:rPr>
        <w:t>Alojas Uzņēmējdarbības atbalsta centra SALA</w:t>
      </w:r>
    </w:p>
    <w:p w14:paraId="5770BF0E" w14:textId="77777777" w:rsidR="009256EF" w:rsidRPr="00000711" w:rsidRDefault="009256EF" w:rsidP="009256EF">
      <w:pPr>
        <w:spacing w:after="0" w:line="240" w:lineRule="auto"/>
        <w:ind w:left="-1276" w:right="-13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07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LAIKS</w:t>
      </w:r>
    </w:p>
    <w:p w14:paraId="1B5E5062" w14:textId="77777777" w:rsidR="009256EF" w:rsidRPr="00000711" w:rsidRDefault="009256EF" w:rsidP="009256EF">
      <w:pPr>
        <w:spacing w:after="0" w:line="240" w:lineRule="auto"/>
        <w:ind w:left="-1276" w:right="-13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9256EF" w:rsidRPr="00000711" w14:paraId="745F40E7" w14:textId="77777777" w:rsidTr="00BF0E30">
        <w:trPr>
          <w:jc w:val="center"/>
        </w:trPr>
        <w:tc>
          <w:tcPr>
            <w:tcW w:w="2552" w:type="dxa"/>
          </w:tcPr>
          <w:p w14:paraId="0C3E8058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Pirmdiena </w:t>
            </w:r>
          </w:p>
          <w:p w14:paraId="54CE610C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Otrdiena </w:t>
            </w:r>
          </w:p>
          <w:p w14:paraId="0C6DE23A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Trešdiena</w:t>
            </w:r>
          </w:p>
          <w:p w14:paraId="6E8C8EE1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Ceturtdiena</w:t>
            </w:r>
          </w:p>
          <w:p w14:paraId="21523657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Piektdiena</w:t>
            </w:r>
          </w:p>
          <w:p w14:paraId="69FB70F5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Sestdiena</w:t>
            </w:r>
          </w:p>
          <w:p w14:paraId="6E296089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Svētdiena</w:t>
            </w:r>
          </w:p>
        </w:tc>
        <w:tc>
          <w:tcPr>
            <w:tcW w:w="2835" w:type="dxa"/>
          </w:tcPr>
          <w:p w14:paraId="44695970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8.30 - 18.00*</w:t>
            </w:r>
          </w:p>
          <w:p w14:paraId="1898E64C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8.30 - 17.00*</w:t>
            </w:r>
          </w:p>
          <w:p w14:paraId="3CC7A576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8.30 - 17.00*</w:t>
            </w:r>
          </w:p>
          <w:p w14:paraId="52236E04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8.30 - 17.00*</w:t>
            </w:r>
          </w:p>
          <w:p w14:paraId="34407A9A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8.30 - 16.00*</w:t>
            </w:r>
          </w:p>
          <w:p w14:paraId="28AC360C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Slēgts*</w:t>
            </w:r>
          </w:p>
          <w:p w14:paraId="71A22480" w14:textId="77777777" w:rsidR="009256EF" w:rsidRPr="00000711" w:rsidRDefault="009256EF" w:rsidP="00BF0E30">
            <w:pPr>
              <w:spacing w:before="120"/>
              <w:ind w:right="-13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Slēgts</w:t>
            </w:r>
          </w:p>
        </w:tc>
      </w:tr>
      <w:tr w:rsidR="009256EF" w:rsidRPr="00000711" w14:paraId="11A3EE04" w14:textId="77777777" w:rsidTr="00BF0E30">
        <w:trPr>
          <w:jc w:val="center"/>
        </w:trPr>
        <w:tc>
          <w:tcPr>
            <w:tcW w:w="5387" w:type="dxa"/>
            <w:gridSpan w:val="2"/>
          </w:tcPr>
          <w:p w14:paraId="0549C83F" w14:textId="77777777" w:rsidR="009256EF" w:rsidRPr="00000711" w:rsidRDefault="009256EF" w:rsidP="00BF0E30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7A93C2C5" w14:textId="77777777" w:rsidR="009256EF" w:rsidRPr="00000711" w:rsidRDefault="009256EF" w:rsidP="00BF0E30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00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*Piesakoties piecas darba dienas iepriekš telpu noma un ekskursijas var tikt organizētas ārpus darba laika.</w:t>
            </w:r>
          </w:p>
        </w:tc>
      </w:tr>
    </w:tbl>
    <w:p w14:paraId="58EEB90A" w14:textId="77777777" w:rsidR="00ED58EB" w:rsidRPr="00000711" w:rsidRDefault="00ED58EB" w:rsidP="00A27A65"/>
    <w:sectPr w:rsidR="00ED58EB" w:rsidRPr="00000711" w:rsidSect="00000711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4808" w14:textId="77777777" w:rsidR="00240944" w:rsidRDefault="00240944" w:rsidP="00000711">
      <w:pPr>
        <w:spacing w:after="0" w:line="240" w:lineRule="auto"/>
      </w:pPr>
      <w:r>
        <w:separator/>
      </w:r>
    </w:p>
  </w:endnote>
  <w:endnote w:type="continuationSeparator" w:id="0">
    <w:p w14:paraId="5A9FC0C5" w14:textId="77777777" w:rsidR="00240944" w:rsidRDefault="00240944" w:rsidP="0000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9F6E" w14:textId="77777777" w:rsidR="00240944" w:rsidRDefault="00240944" w:rsidP="00000711">
      <w:pPr>
        <w:spacing w:after="0" w:line="240" w:lineRule="auto"/>
      </w:pPr>
      <w:r>
        <w:separator/>
      </w:r>
    </w:p>
  </w:footnote>
  <w:footnote w:type="continuationSeparator" w:id="0">
    <w:p w14:paraId="00A28FCD" w14:textId="77777777" w:rsidR="00240944" w:rsidRDefault="00240944" w:rsidP="0000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738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777557" w14:textId="2DF27217" w:rsidR="00000711" w:rsidRPr="00000711" w:rsidRDefault="0000071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07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07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07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685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007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130EDF" w14:textId="77777777" w:rsidR="00000711" w:rsidRDefault="0000071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ED5D" w14:textId="07AEA181" w:rsidR="00103395" w:rsidRDefault="00103395" w:rsidP="0010339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>
      <w:rPr>
        <w:caps/>
        <w:noProof/>
        <w:lang w:eastAsia="lv-LV"/>
      </w:rPr>
      <w:drawing>
        <wp:inline distT="0" distB="0" distL="0" distR="0" wp14:anchorId="51768095" wp14:editId="4A2FA47D">
          <wp:extent cx="770890" cy="901065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26884" w14:textId="4789813D" w:rsidR="00103395" w:rsidRPr="00B525F7" w:rsidRDefault="00103395" w:rsidP="0010339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B525F7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71503DBB" w14:textId="77777777" w:rsidR="00103395" w:rsidRPr="00B525F7" w:rsidRDefault="00103395" w:rsidP="00103395">
    <w:pP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B525F7">
      <w:rPr>
        <w:rFonts w:ascii="Times New Roman" w:hAnsi="Times New Roman" w:cs="Times New Roman"/>
        <w:sz w:val="18"/>
        <w:szCs w:val="20"/>
      </w:rPr>
      <w:t xml:space="preserve">Norēķiniem </w:t>
    </w:r>
    <w:proofErr w:type="spellStart"/>
    <w:r w:rsidRPr="00B525F7">
      <w:rPr>
        <w:rFonts w:ascii="Times New Roman" w:hAnsi="Times New Roman" w:cs="Times New Roman"/>
        <w:sz w:val="18"/>
        <w:szCs w:val="20"/>
      </w:rPr>
      <w:t>Reģ</w:t>
    </w:r>
    <w:proofErr w:type="spellEnd"/>
    <w:r w:rsidRPr="00B525F7">
      <w:rPr>
        <w:rFonts w:ascii="Times New Roman" w:hAnsi="Times New Roman" w:cs="Times New Roman"/>
        <w:sz w:val="18"/>
        <w:szCs w:val="20"/>
      </w:rPr>
      <w:t xml:space="preserve">. Nr. LV 90009114631, Rīgas iela 16, Limbaži, Limbažu novads, LV–4001; </w:t>
    </w:r>
  </w:p>
  <w:p w14:paraId="2E5D2E77" w14:textId="77777777" w:rsidR="00103395" w:rsidRDefault="00103395" w:rsidP="00103395">
    <w:pPr>
      <w:pStyle w:val="Galvene"/>
      <w:jc w:val="center"/>
    </w:pPr>
    <w:r w:rsidRPr="00B525F7">
      <w:rPr>
        <w:rFonts w:ascii="Times New Roman" w:hAnsi="Times New Roman" w:cs="Times New Roman"/>
        <w:sz w:val="18"/>
      </w:rPr>
      <w:t>E-adrese _</w:t>
    </w:r>
    <w:r w:rsidRPr="00B525F7">
      <w:rPr>
        <w:rFonts w:ascii="Times New Roman" w:hAnsi="Times New Roman" w:cs="Times New Roman"/>
        <w:sz w:val="18"/>
        <w:szCs w:val="18"/>
      </w:rPr>
      <w:t xml:space="preserve">DEFAULT@90009114631; </w:t>
    </w:r>
    <w:r w:rsidRPr="00B525F7">
      <w:rPr>
        <w:rFonts w:ascii="Times New Roman" w:hAnsi="Times New Roman" w:cs="Times New Roman"/>
        <w:sz w:val="18"/>
        <w:szCs w:val="20"/>
      </w:rPr>
      <w:t>e-pasts</w:t>
    </w:r>
    <w:r w:rsidRPr="00B525F7">
      <w:rPr>
        <w:rFonts w:ascii="Times New Roman" w:hAnsi="Times New Roman" w:cs="Times New Roman"/>
        <w:iCs/>
        <w:sz w:val="18"/>
        <w:szCs w:val="20"/>
      </w:rPr>
      <w:t xml:space="preserve"> pasts@limbazi.lv;</w:t>
    </w:r>
    <w:r w:rsidRPr="00B525F7">
      <w:rPr>
        <w:rFonts w:ascii="Times New Roman" w:hAnsi="Times New Roman" w:cs="Times New Roman"/>
        <w:sz w:val="18"/>
        <w:szCs w:val="20"/>
      </w:rPr>
      <w:t xml:space="preserve"> tālrunis 64023003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94EF" w14:textId="5E3AF1A8" w:rsidR="0054344F" w:rsidRDefault="0054344F" w:rsidP="0010339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A1377"/>
    <w:multiLevelType w:val="multilevel"/>
    <w:tmpl w:val="B510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EF"/>
    <w:rsid w:val="00000711"/>
    <w:rsid w:val="000D6851"/>
    <w:rsid w:val="00103395"/>
    <w:rsid w:val="00181D55"/>
    <w:rsid w:val="00240944"/>
    <w:rsid w:val="0054344F"/>
    <w:rsid w:val="00622E2F"/>
    <w:rsid w:val="009256EF"/>
    <w:rsid w:val="00A27A65"/>
    <w:rsid w:val="00E023BA"/>
    <w:rsid w:val="00E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78B62D"/>
  <w15:chartTrackingRefBased/>
  <w15:docId w15:val="{EA1FE613-8E15-45E8-AD94-AE3E097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56E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2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rakstatabula6krsaina-izclums32">
    <w:name w:val="Saraksta tabula 6 krāsaina - izcēlums 32"/>
    <w:basedOn w:val="Parastatabula"/>
    <w:uiPriority w:val="51"/>
    <w:rsid w:val="009256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Galvene">
    <w:name w:val="header"/>
    <w:basedOn w:val="Parasts"/>
    <w:link w:val="GalveneRakstz"/>
    <w:uiPriority w:val="99"/>
    <w:unhideWhenUsed/>
    <w:rsid w:val="000007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0711"/>
  </w:style>
  <w:style w:type="paragraph" w:styleId="Kjene">
    <w:name w:val="footer"/>
    <w:basedOn w:val="Parasts"/>
    <w:link w:val="KjeneRakstz"/>
    <w:uiPriority w:val="99"/>
    <w:unhideWhenUsed/>
    <w:rsid w:val="000007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6084</Words>
  <Characters>3469</Characters>
  <Application>Microsoft Office Word</Application>
  <DocSecurity>0</DocSecurity>
  <Lines>28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Lietotajs</cp:lastModifiedBy>
  <cp:revision>6</cp:revision>
  <dcterms:created xsi:type="dcterms:W3CDTF">2021-09-01T07:58:00Z</dcterms:created>
  <dcterms:modified xsi:type="dcterms:W3CDTF">2021-09-11T16:53:00Z</dcterms:modified>
</cp:coreProperties>
</file>