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23758" w14:textId="77777777" w:rsidR="006852AA" w:rsidRDefault="006852AA" w:rsidP="00C31651">
      <w:pPr>
        <w:jc w:val="center"/>
        <w:rPr>
          <w:b/>
        </w:rPr>
      </w:pPr>
    </w:p>
    <w:p w14:paraId="15B20051" w14:textId="0A6CBE42" w:rsidR="006852AA" w:rsidRPr="006852AA" w:rsidRDefault="006852AA" w:rsidP="00C31651">
      <w:pPr>
        <w:jc w:val="center"/>
      </w:pPr>
      <w:r w:rsidRPr="006852AA">
        <w:t>Limbažos</w:t>
      </w:r>
    </w:p>
    <w:p w14:paraId="52470A8E" w14:textId="77777777" w:rsidR="006852AA" w:rsidRDefault="006852AA" w:rsidP="00C31651">
      <w:pPr>
        <w:jc w:val="center"/>
        <w:rPr>
          <w:b/>
        </w:rPr>
      </w:pPr>
    </w:p>
    <w:p w14:paraId="067B6558" w14:textId="2A1A88A7" w:rsidR="00C31651" w:rsidRPr="00221AFF" w:rsidRDefault="00C31651" w:rsidP="00C31651">
      <w:pPr>
        <w:jc w:val="center"/>
        <w:rPr>
          <w:b/>
        </w:rPr>
      </w:pPr>
      <w:r w:rsidRPr="00221AFF">
        <w:rPr>
          <w:b/>
        </w:rPr>
        <w:t>PASKAIDROJUMA RAKSTS</w:t>
      </w:r>
    </w:p>
    <w:p w14:paraId="46EB86CF" w14:textId="4852D4FA" w:rsidR="00C31651" w:rsidRPr="00221AFF" w:rsidRDefault="00C31651" w:rsidP="00C31651">
      <w:pPr>
        <w:jc w:val="center"/>
        <w:rPr>
          <w:b/>
          <w:bCs/>
        </w:rPr>
      </w:pPr>
      <w:r w:rsidRPr="00221AFF">
        <w:rPr>
          <w:b/>
          <w:bCs/>
        </w:rPr>
        <w:t xml:space="preserve">Limbažu novada pašvaldības domes </w:t>
      </w:r>
      <w:r w:rsidRPr="00221AFF">
        <w:rPr>
          <w:b/>
        </w:rPr>
        <w:t>2021. gada 26.augusta</w:t>
      </w:r>
      <w:r w:rsidRPr="00221AFF">
        <w:t xml:space="preserve"> </w:t>
      </w:r>
      <w:r w:rsidRPr="00221AFF">
        <w:rPr>
          <w:b/>
          <w:bCs/>
        </w:rPr>
        <w:t xml:space="preserve">saistošajiem noteikumiem Nr. </w:t>
      </w:r>
      <w:r w:rsidR="00221AFF" w:rsidRPr="00221AFF">
        <w:rPr>
          <w:b/>
          <w:bCs/>
        </w:rPr>
        <w:t>7</w:t>
      </w:r>
    </w:p>
    <w:p w14:paraId="549F829F" w14:textId="77777777" w:rsidR="00C31651" w:rsidRPr="00221AFF" w:rsidRDefault="00C31651" w:rsidP="00C31651">
      <w:pPr>
        <w:jc w:val="center"/>
        <w:rPr>
          <w:i/>
        </w:rPr>
      </w:pPr>
      <w:r w:rsidRPr="00221AFF">
        <w:rPr>
          <w:b/>
        </w:rPr>
        <w:t>„Par nekustamā īpašuma nodokļa atvieglojumiem Limbažu novadā”</w:t>
      </w:r>
    </w:p>
    <w:p w14:paraId="0662FC49" w14:textId="77777777" w:rsidR="00C31651" w:rsidRPr="00221AFF" w:rsidRDefault="00C31651" w:rsidP="00C31651">
      <w:pPr>
        <w:jc w:val="center"/>
        <w:rPr>
          <w:b/>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951"/>
        <w:gridCol w:w="7671"/>
      </w:tblGrid>
      <w:tr w:rsidR="00394CCB" w:rsidRPr="00394CCB" w14:paraId="5546DE4A" w14:textId="77777777" w:rsidTr="00331904">
        <w:trPr>
          <w:trHeight w:val="5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0204C01E" w14:textId="77777777" w:rsidR="00394CCB" w:rsidRPr="00394CCB" w:rsidRDefault="00394CCB" w:rsidP="00394CCB">
            <w:pPr>
              <w:jc w:val="center"/>
              <w:rPr>
                <w:b/>
              </w:rPr>
            </w:pPr>
            <w:r w:rsidRPr="00394CCB">
              <w:rPr>
                <w:b/>
              </w:rPr>
              <w:t>Paskaidrojuma raksta sadaļas</w:t>
            </w:r>
          </w:p>
        </w:tc>
        <w:tc>
          <w:tcPr>
            <w:tcW w:w="4000" w:type="pct"/>
            <w:tcBorders>
              <w:top w:val="outset" w:sz="6" w:space="0" w:color="000000"/>
              <w:left w:val="outset" w:sz="6" w:space="0" w:color="000000"/>
              <w:bottom w:val="outset" w:sz="6" w:space="0" w:color="000000"/>
              <w:right w:val="outset" w:sz="6" w:space="0" w:color="000000"/>
            </w:tcBorders>
            <w:hideMark/>
          </w:tcPr>
          <w:p w14:paraId="0B4AF287" w14:textId="77777777" w:rsidR="00394CCB" w:rsidRPr="00394CCB" w:rsidRDefault="00394CCB" w:rsidP="00394CCB">
            <w:pPr>
              <w:spacing w:before="100" w:beforeAutospacing="1" w:after="100" w:afterAutospacing="1"/>
              <w:jc w:val="center"/>
              <w:rPr>
                <w:b/>
              </w:rPr>
            </w:pPr>
            <w:r w:rsidRPr="00394CCB">
              <w:rPr>
                <w:b/>
              </w:rPr>
              <w:t>Norādāmā informācija</w:t>
            </w:r>
          </w:p>
        </w:tc>
      </w:tr>
      <w:tr w:rsidR="00394CCB" w:rsidRPr="00394CCB" w14:paraId="28217CB5" w14:textId="77777777" w:rsidTr="0033190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1ACAA507" w14:textId="77777777" w:rsidR="00394CCB" w:rsidRPr="00394CCB" w:rsidRDefault="00394CCB" w:rsidP="00394CCB">
            <w:r w:rsidRPr="00394CCB">
              <w:t>1. Projekta nepieciešamības pamatojums</w:t>
            </w:r>
          </w:p>
        </w:tc>
        <w:tc>
          <w:tcPr>
            <w:tcW w:w="4000" w:type="pct"/>
            <w:tcBorders>
              <w:top w:val="outset" w:sz="6" w:space="0" w:color="000000"/>
              <w:left w:val="outset" w:sz="6" w:space="0" w:color="000000"/>
              <w:bottom w:val="outset" w:sz="6" w:space="0" w:color="000000"/>
              <w:right w:val="outset" w:sz="6" w:space="0" w:color="000000"/>
            </w:tcBorders>
            <w:hideMark/>
          </w:tcPr>
          <w:p w14:paraId="6B29B42A" w14:textId="77777777" w:rsidR="00394CCB" w:rsidRPr="00394CCB" w:rsidRDefault="00394CCB" w:rsidP="00394CCB">
            <w:pPr>
              <w:numPr>
                <w:ilvl w:val="1"/>
                <w:numId w:val="3"/>
              </w:numPr>
              <w:autoSpaceDE w:val="0"/>
              <w:autoSpaceDN w:val="0"/>
              <w:adjustRightInd w:val="0"/>
              <w:jc w:val="both"/>
              <w:rPr>
                <w:rFonts w:eastAsia="Calibri"/>
                <w:i/>
                <w:sz w:val="22"/>
                <w:szCs w:val="22"/>
              </w:rPr>
            </w:pPr>
            <w:r w:rsidRPr="00394CCB">
              <w:t xml:space="preserve">Tiesības izdot šos saistošos noteikumus noteiktas likuma „Par nekustamā īpašuma nodokli” </w:t>
            </w:r>
            <w:r w:rsidRPr="00394CCB">
              <w:rPr>
                <w:rFonts w:eastAsia="Calibri"/>
                <w:sz w:val="22"/>
                <w:szCs w:val="22"/>
              </w:rPr>
              <w:t>3.panta pirmajā daļā, 3.</w:t>
            </w:r>
            <w:r w:rsidRPr="00394CCB">
              <w:rPr>
                <w:rFonts w:eastAsia="Calibri"/>
                <w:sz w:val="22"/>
                <w:szCs w:val="22"/>
                <w:vertAlign w:val="superscript"/>
              </w:rPr>
              <w:t>1</w:t>
            </w:r>
            <w:r w:rsidRPr="00394CCB">
              <w:rPr>
                <w:rFonts w:eastAsia="Calibri"/>
                <w:sz w:val="22"/>
                <w:szCs w:val="22"/>
              </w:rPr>
              <w:t xml:space="preserve"> panta otrās daļas 1.punktā un ceturtajā daļā, 5.panta </w:t>
            </w:r>
            <w:r w:rsidRPr="00394CCB">
              <w:rPr>
                <w:sz w:val="20"/>
                <w:szCs w:val="20"/>
                <w:lang w:val="en-US"/>
              </w:rPr>
              <w:t>1.</w:t>
            </w:r>
            <w:r w:rsidRPr="00394CCB">
              <w:rPr>
                <w:sz w:val="20"/>
                <w:szCs w:val="20"/>
                <w:vertAlign w:val="superscript"/>
                <w:lang w:val="en-US"/>
              </w:rPr>
              <w:t>1</w:t>
            </w:r>
            <w:r w:rsidRPr="00394CCB">
              <w:rPr>
                <w:sz w:val="20"/>
                <w:szCs w:val="20"/>
                <w:lang w:val="en-US"/>
              </w:rPr>
              <w:t xml:space="preserve"> </w:t>
            </w:r>
            <w:proofErr w:type="spellStart"/>
            <w:r w:rsidRPr="00394CCB">
              <w:rPr>
                <w:lang w:val="en-US"/>
              </w:rPr>
              <w:t>daļā</w:t>
            </w:r>
            <w:proofErr w:type="spellEnd"/>
            <w:r w:rsidRPr="00394CCB">
              <w:rPr>
                <w:lang w:val="en-US"/>
              </w:rPr>
              <w:t>,</w:t>
            </w:r>
            <w:r w:rsidRPr="00394CCB">
              <w:rPr>
                <w:rFonts w:eastAsia="Calibri"/>
                <w:sz w:val="22"/>
                <w:szCs w:val="22"/>
              </w:rPr>
              <w:t xml:space="preserve"> trešajā un ceturtajā daļā.</w:t>
            </w:r>
          </w:p>
          <w:p w14:paraId="39F1990F" w14:textId="77777777" w:rsidR="00394CCB" w:rsidRPr="00394CCB" w:rsidRDefault="00394CCB" w:rsidP="00394CCB">
            <w:pPr>
              <w:numPr>
                <w:ilvl w:val="1"/>
                <w:numId w:val="3"/>
              </w:numPr>
              <w:jc w:val="both"/>
            </w:pPr>
            <w:r w:rsidRPr="00394CCB">
              <w:t xml:space="preserve"> Pašvaldībai tiek deleģētas tiesības pieņemt lēmumu par nodokļa atvieglojumiem, izdodot saistošos noteikumus, īpaši ņemot vērā nekustamā īpašuma nodokļa ietekmi uz sociāli </w:t>
            </w:r>
            <w:proofErr w:type="spellStart"/>
            <w:r w:rsidRPr="00394CCB">
              <w:t>mazaizsargāto</w:t>
            </w:r>
            <w:proofErr w:type="spellEnd"/>
            <w:r w:rsidRPr="00394CCB">
              <w:t xml:space="preserve"> un trūcīgo iedzīvotāju grupām. </w:t>
            </w:r>
          </w:p>
          <w:p w14:paraId="04899A36" w14:textId="77777777" w:rsidR="00394CCB" w:rsidRPr="00394CCB" w:rsidRDefault="00394CCB" w:rsidP="00394CCB">
            <w:pPr>
              <w:numPr>
                <w:ilvl w:val="1"/>
                <w:numId w:val="3"/>
              </w:numPr>
              <w:jc w:val="both"/>
              <w:rPr>
                <w:lang w:eastAsia="en-US"/>
              </w:rPr>
            </w:pPr>
            <w:r w:rsidRPr="00394CCB">
              <w:t>Likuma "</w:t>
            </w:r>
            <w:hyperlink r:id="rId7" w:tgtFrame="_blank" w:history="1">
              <w:r w:rsidRPr="00394CCB">
                <w:t>Par nekustamā īpašuma nodokli</w:t>
              </w:r>
            </w:hyperlink>
            <w:r w:rsidRPr="00394CCB">
              <w:t xml:space="preserve">" </w:t>
            </w:r>
            <w:hyperlink r:id="rId8" w:anchor="p5" w:tgtFrame="_blank" w:history="1">
              <w:r w:rsidRPr="00394CCB">
                <w:t>5.panta</w:t>
              </w:r>
            </w:hyperlink>
            <w:r w:rsidRPr="00394CCB">
              <w:t xml:space="preserve"> pirmā </w:t>
            </w:r>
            <w:proofErr w:type="spellStart"/>
            <w:r w:rsidRPr="00394CCB">
              <w:t>prim</w:t>
            </w:r>
            <w:proofErr w:type="spellEnd"/>
            <w:r w:rsidRPr="00394CCB">
              <w:t xml:space="preserve"> daļa nosaka, ka pašvaldība piešķir nodokļa atvieglojumu nodokļa maksātājiem, kuriem tā ir noteikusi maznodrošinātas ģimenes vai personas statusu – līdz 90 procentiem no aprēķinātās nodokļa summas par to periodu, kurā nodokļa maksātājs atbilst maznodrošinātas personas statusam.</w:t>
            </w:r>
          </w:p>
          <w:p w14:paraId="2DEDC137" w14:textId="77777777" w:rsidR="00394CCB" w:rsidRPr="00394CCB" w:rsidRDefault="00394CCB" w:rsidP="00394CCB">
            <w:pPr>
              <w:numPr>
                <w:ilvl w:val="1"/>
                <w:numId w:val="3"/>
              </w:numPr>
              <w:jc w:val="both"/>
              <w:rPr>
                <w:lang w:eastAsia="en-US"/>
              </w:rPr>
            </w:pPr>
            <w:r w:rsidRPr="00394CCB">
              <w:t xml:space="preserve"> Likuma 5.panta ceturtā daļa nosaka, ka atvieglojumus atsevišķām nekustamā īpašuma nodokļa maksātāju kategorijām pašvaldības var noteikt 90, 70, 50 vai 25 procentu apmērā no nekustamā īpašuma nodokļa summas. To nodokļu maksātāju kategorijām, kuri ir saimnieciskās darbības veicēji, pašvaldības var piešķirt nodokļa atvieglojumus kā </w:t>
            </w:r>
            <w:proofErr w:type="spellStart"/>
            <w:r w:rsidRPr="00394CCB">
              <w:rPr>
                <w:i/>
                <w:iCs/>
              </w:rPr>
              <w:t>de</w:t>
            </w:r>
            <w:proofErr w:type="spellEnd"/>
            <w:r w:rsidRPr="00394CCB">
              <w:rPr>
                <w:i/>
                <w:iCs/>
              </w:rPr>
              <w:t xml:space="preserve"> </w:t>
            </w:r>
            <w:proofErr w:type="spellStart"/>
            <w:r w:rsidRPr="00394CCB">
              <w:rPr>
                <w:i/>
                <w:iCs/>
              </w:rPr>
              <w:t>minimis</w:t>
            </w:r>
            <w:proofErr w:type="spellEnd"/>
            <w:r w:rsidRPr="00394CCB">
              <w:t xml:space="preserve"> atbalstu.</w:t>
            </w:r>
          </w:p>
          <w:p w14:paraId="151A2C48" w14:textId="77777777" w:rsidR="00394CCB" w:rsidRPr="00394CCB" w:rsidRDefault="00394CCB" w:rsidP="00394CCB">
            <w:pPr>
              <w:numPr>
                <w:ilvl w:val="1"/>
                <w:numId w:val="3"/>
              </w:numPr>
              <w:jc w:val="both"/>
              <w:rPr>
                <w:lang w:eastAsia="en-US"/>
              </w:rPr>
            </w:pPr>
            <w:r w:rsidRPr="00394CCB">
              <w:rPr>
                <w:lang w:eastAsia="en-US"/>
              </w:rPr>
              <w:t xml:space="preserve"> </w:t>
            </w:r>
            <w:r w:rsidRPr="00394CCB">
              <w:t xml:space="preserve">Saskaņā ar likuma „Par nekustamā īpašuma nodokli” 3.1 panta otrās daļas 1. punktu, nosakot nekustamā īpašuma nodokļa likmi vai likmes, pašvaldība var piemērot uzņēmējdarbības atbalsta principu, saskaņā ar kuru pašvaldība izmanto nodokļa likmi kā līdzekli savas teritorijas uzņēmēju vai noteiktu uzņēmējdarbības veidu konkurētspējas paaugstināšanai, ievērojot Komisijas 2006. gada decembra regulas (EK) Nr. 1998/2006 par Līguma 87. un 88. panta piemērošanu </w:t>
            </w:r>
            <w:proofErr w:type="spellStart"/>
            <w:r w:rsidRPr="00394CCB">
              <w:t>de</w:t>
            </w:r>
            <w:proofErr w:type="spellEnd"/>
            <w:r w:rsidRPr="00394CCB">
              <w:t xml:space="preserve"> </w:t>
            </w:r>
            <w:proofErr w:type="spellStart"/>
            <w:r w:rsidRPr="00394CCB">
              <w:t>minimis</w:t>
            </w:r>
            <w:proofErr w:type="spellEnd"/>
            <w:r w:rsidRPr="00394CCB">
              <w:t xml:space="preserve"> atbalstam nosacījumus. </w:t>
            </w:r>
          </w:p>
        </w:tc>
      </w:tr>
      <w:tr w:rsidR="00394CCB" w:rsidRPr="00394CCB" w14:paraId="1756971B" w14:textId="77777777" w:rsidTr="0033190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27B9E839" w14:textId="77777777" w:rsidR="00394CCB" w:rsidRPr="00394CCB" w:rsidRDefault="00394CCB" w:rsidP="00394CCB">
            <w:r w:rsidRPr="00394CCB">
              <w:t>2. Īss projekta satura izklāsts</w:t>
            </w:r>
          </w:p>
        </w:tc>
        <w:tc>
          <w:tcPr>
            <w:tcW w:w="4000" w:type="pct"/>
            <w:tcBorders>
              <w:top w:val="outset" w:sz="6" w:space="0" w:color="000000"/>
              <w:left w:val="outset" w:sz="6" w:space="0" w:color="000000"/>
              <w:bottom w:val="outset" w:sz="6" w:space="0" w:color="000000"/>
              <w:right w:val="outset" w:sz="6" w:space="0" w:color="000000"/>
            </w:tcBorders>
            <w:hideMark/>
          </w:tcPr>
          <w:p w14:paraId="220E9C97" w14:textId="77777777" w:rsidR="00394CCB" w:rsidRPr="00394CCB" w:rsidRDefault="00394CCB" w:rsidP="00394CCB">
            <w:pPr>
              <w:rPr>
                <w:sz w:val="20"/>
                <w:szCs w:val="20"/>
                <w:lang w:val="en-US"/>
              </w:rPr>
            </w:pPr>
          </w:p>
          <w:p w14:paraId="259A0414" w14:textId="77777777" w:rsidR="00394CCB" w:rsidRPr="00394CCB" w:rsidRDefault="00394CCB" w:rsidP="00394CCB">
            <w:pPr>
              <w:shd w:val="clear" w:color="auto" w:fill="FFFFFF"/>
              <w:ind w:right="-61"/>
              <w:jc w:val="both"/>
              <w:rPr>
                <w:lang w:val="en-US" w:eastAsia="en-US"/>
              </w:rPr>
            </w:pPr>
            <w:r w:rsidRPr="00394CCB">
              <w:rPr>
                <w:lang w:val="en-US" w:eastAsia="en-US"/>
              </w:rPr>
              <w:t>2.1.</w:t>
            </w:r>
            <w:r w:rsidRPr="00394CCB">
              <w:t xml:space="preserve"> Saistošie noteikumi reglamentē nekustamā īpašuma nodokļa atvieglojumu piešķiršanas kārtību, nosaka nodokļa maksātāju kategorijas, kurām piešķirami nekustamā īpašuma nodokļa atvieglojumi, kā arī nodokļa atvieglojumu apmēru vai samazināto likmi un katrai </w:t>
            </w:r>
            <w:proofErr w:type="gramStart"/>
            <w:r w:rsidRPr="00394CCB">
              <w:t>kategorijai  iesniedzamos</w:t>
            </w:r>
            <w:proofErr w:type="gramEnd"/>
            <w:r w:rsidRPr="00394CCB">
              <w:t xml:space="preserve"> dokumentus.</w:t>
            </w:r>
          </w:p>
          <w:p w14:paraId="209B4816" w14:textId="77777777" w:rsidR="00394CCB" w:rsidRPr="00394CCB" w:rsidRDefault="00394CCB" w:rsidP="00394CCB">
            <w:pPr>
              <w:ind w:left="180"/>
              <w:jc w:val="both"/>
            </w:pPr>
            <w:r w:rsidRPr="00394CCB">
              <w:t xml:space="preserve">2.2.Nekustamā īpašuma nodokļa atvieglojums tiek piešķirts Limbažu novadā deklarētām fiziskām personām un juridiskām personām, kuru juridiskā adrese reģistrēta Limbažu novada administratīvajā teritorijā no taksācijas gadam aprēķinātās nekustamā īpašuma nodokļa summas par vienu, </w:t>
            </w:r>
            <w:r w:rsidRPr="00394CCB">
              <w:rPr>
                <w:rFonts w:eastAsia="Calibri"/>
                <w:lang w:eastAsia="en-US"/>
              </w:rPr>
              <w:t xml:space="preserve">īpašumā vai </w:t>
            </w:r>
            <w:r w:rsidRPr="00394CCB">
              <w:rPr>
                <w:rFonts w:eastAsia="Calibri"/>
                <w:lang w:eastAsia="en-US"/>
              </w:rPr>
              <w:lastRenderedPageBreak/>
              <w:t xml:space="preserve">tiesiskajā valdījumā esošu  individuālo dzīvojamo māju un tās palīgēkām vai  dzīvokļa īpašumu, kā arī </w:t>
            </w:r>
            <w:r w:rsidRPr="00394CCB">
              <w:t>individuālajai dzīvojamajai mājai vai dzīvokļa īpašumam piekritīgo zemi, ja tās platība nepārsniedz 1 ha ( ja zemes platība pārsniedz 1 ha, atvieglojums par zemi netiek piemērots), ar nosacījumu, ka minētais nekustamais īpašums netiek izmantots saimnieciskai darbībai vai iznomāts citām personām. Atvieglojums tiek piešķirts šādā  apmērā un kārtībā:</w:t>
            </w:r>
          </w:p>
          <w:p w14:paraId="00293F26" w14:textId="77777777" w:rsidR="00394CCB" w:rsidRPr="00394CCB" w:rsidRDefault="00394CCB" w:rsidP="00394CCB">
            <w:pPr>
              <w:jc w:val="both"/>
            </w:pPr>
          </w:p>
          <w:p w14:paraId="49684F66" w14:textId="77777777" w:rsidR="00394CCB" w:rsidRPr="00394CCB" w:rsidRDefault="00394CCB" w:rsidP="00394CCB">
            <w:pPr>
              <w:jc w:val="both"/>
            </w:pPr>
            <w:r w:rsidRPr="00394CCB">
              <w:t xml:space="preserve">2.2.1. 90 % apmērā no taksācijas gadā un 70 % apmērā no nākamajā gadā aprēķinātās nekustamā īpašuma nodokļa summas par ēku fiziskām un juridiskām personām, kuru īpašumā esoša ēka vai ēkas daļa (dzīvoklis) ir cietusi ugunsgrēka rezultātā; </w:t>
            </w:r>
          </w:p>
          <w:p w14:paraId="41BAD78B" w14:textId="77777777" w:rsidR="00394CCB" w:rsidRPr="00394CCB" w:rsidRDefault="00394CCB" w:rsidP="00394CCB">
            <w:pPr>
              <w:jc w:val="both"/>
            </w:pPr>
            <w:r w:rsidRPr="00394CCB">
              <w:t>2.2.2. 50 % apmērā no aprēķinātās nekustamā īpašuma nodokļa summas nekustamā īpašuma īpašniekiem - vientuļiem pensionāriem, kuriem nav Civillikumā noteikto likumisko apgādnieku - laulātā, pirmās pakāpes lejupējo radinieku;</w:t>
            </w:r>
          </w:p>
          <w:p w14:paraId="37EBCF68" w14:textId="77777777" w:rsidR="00394CCB" w:rsidRPr="00394CCB" w:rsidRDefault="00394CCB" w:rsidP="00394CCB">
            <w:pPr>
              <w:jc w:val="both"/>
            </w:pPr>
            <w:r w:rsidRPr="00394CCB">
              <w:t>2.2.3. 50 % apmērā no aprēķinātās nekustamā īpašuma nodokļa summas nekustamā īpašuma īpašniekiem, kuru aizgādnībā ir persona ar I invaliditātes grupu vai kuru apgādībā ir persona līdz 18 gadu vecumam ar noteiktu invaliditāti.</w:t>
            </w:r>
          </w:p>
          <w:p w14:paraId="6C808F70" w14:textId="77777777" w:rsidR="00394CCB" w:rsidRPr="00394CCB" w:rsidRDefault="00394CCB" w:rsidP="00394CCB">
            <w:pPr>
              <w:shd w:val="clear" w:color="auto" w:fill="FFFFFF"/>
              <w:ind w:right="-61"/>
              <w:jc w:val="both"/>
            </w:pPr>
            <w:r w:rsidRPr="00394CCB">
              <w:t xml:space="preserve">2.2.4. 50 % apmērā - personām, kurām piešķirts maznodrošinātas personas (ģimenes) statuss. </w:t>
            </w:r>
          </w:p>
          <w:p w14:paraId="1B0BA08B" w14:textId="77777777" w:rsidR="00394CCB" w:rsidRPr="00394CCB" w:rsidRDefault="00394CCB" w:rsidP="00394CCB">
            <w:pPr>
              <w:shd w:val="clear" w:color="auto" w:fill="FFFFFF"/>
              <w:ind w:right="-61"/>
              <w:jc w:val="both"/>
            </w:pPr>
            <w:r w:rsidRPr="00394CCB">
              <w:t>2.2.5. 50 % apmērā - Černobiļas AES avārijas seku likvidētājiem.</w:t>
            </w:r>
          </w:p>
          <w:p w14:paraId="281ABADB" w14:textId="77777777" w:rsidR="00394CCB" w:rsidRPr="00394CCB" w:rsidRDefault="00394CCB" w:rsidP="00394CCB">
            <w:pPr>
              <w:shd w:val="clear" w:color="auto" w:fill="FFFFFF"/>
              <w:ind w:right="-61"/>
              <w:jc w:val="both"/>
            </w:pPr>
            <w:r w:rsidRPr="00394CCB">
              <w:t>2.2.6. 50 % apmērā - personām ar I grupas invaliditāti no nekustamā īpašuma nodokļa summas.</w:t>
            </w:r>
          </w:p>
          <w:p w14:paraId="247F2C8A" w14:textId="77777777" w:rsidR="00394CCB" w:rsidRPr="00394CCB" w:rsidRDefault="00394CCB" w:rsidP="00394CCB">
            <w:pPr>
              <w:shd w:val="clear" w:color="auto" w:fill="FFFFFF"/>
              <w:ind w:right="-61"/>
              <w:jc w:val="both"/>
            </w:pPr>
            <w:r w:rsidRPr="00394CCB">
              <w:t>2.2.7. 25 % apmērā - personām ar II grupas invaliditāti no nekustamā īpašuma nodokļa summas.</w:t>
            </w:r>
          </w:p>
          <w:p w14:paraId="3DDC80D3" w14:textId="77777777" w:rsidR="00394CCB" w:rsidRPr="00394CCB" w:rsidRDefault="00394CCB" w:rsidP="00394CCB">
            <w:pPr>
              <w:shd w:val="clear" w:color="auto" w:fill="FFFFFF"/>
              <w:ind w:right="-61"/>
              <w:jc w:val="both"/>
            </w:pPr>
            <w:r w:rsidRPr="00394CCB">
              <w:t>2.2.8. 50 % apmērā - pensionāriem, kuri taksācijas gada 1. janvārī ir sasnieguši 70 gadu vecumu, par viņu īpašumā vai tiesiskajā valdījumā  esošo individuālo dzīvojamā māju un  palīgēkām un zemi, uz kuras atrodas šīs ēkas vai dzīvokļa īpašums ar tam piekritīgo zemi platībā līdz 1 ha, kurā ir personas deklarētā dzīvesvieta taksācijas gada 1. janvārī un tā netiek izmantota saimnieciskajai darbībai vai iznomāta.</w:t>
            </w:r>
          </w:p>
          <w:p w14:paraId="4F46FE8F" w14:textId="77777777" w:rsidR="00394CCB" w:rsidRPr="00394CCB" w:rsidRDefault="00394CCB" w:rsidP="00394CCB">
            <w:pPr>
              <w:shd w:val="clear" w:color="auto" w:fill="FFFFFF"/>
              <w:ind w:right="-61"/>
              <w:jc w:val="both"/>
            </w:pPr>
            <w:r w:rsidRPr="00394CCB">
              <w:t>2.3,. Nekustamā īpašuma nodokļa atvieglojumi tiek piešķirti par vienu nekustamo īpašumu, kas atrodas Limbažu novada administratīvajā teritorijā, Uzņēmumu reģistrā Limbažu novadā reģistrētām juridiskām personām no taksācijas gadā aprēķinātas nekustamā īpašuma nodokļa summas:</w:t>
            </w:r>
          </w:p>
          <w:p w14:paraId="71A0A0F8" w14:textId="77777777" w:rsidR="00394CCB" w:rsidRPr="00394CCB" w:rsidRDefault="00394CCB" w:rsidP="00394CCB">
            <w:pPr>
              <w:shd w:val="clear" w:color="auto" w:fill="FFFFFF"/>
              <w:ind w:right="-61"/>
              <w:jc w:val="both"/>
            </w:pPr>
            <w:r w:rsidRPr="00394CCB">
              <w:t xml:space="preserve">2.3.1. eksportējošiem uzņēmumiem - 50 % apmērā no nekustamā īpašuma nodokļa summas </w:t>
            </w:r>
            <w:proofErr w:type="spellStart"/>
            <w:r w:rsidRPr="00394CCB">
              <w:rPr>
                <w:i/>
              </w:rPr>
              <w:t>de</w:t>
            </w:r>
            <w:proofErr w:type="spellEnd"/>
            <w:r w:rsidRPr="00394CCB">
              <w:rPr>
                <w:i/>
              </w:rPr>
              <w:t xml:space="preserve"> </w:t>
            </w:r>
            <w:proofErr w:type="spellStart"/>
            <w:r w:rsidRPr="00394CCB">
              <w:rPr>
                <w:i/>
              </w:rPr>
              <w:t>minimis</w:t>
            </w:r>
            <w:proofErr w:type="spellEnd"/>
            <w:r w:rsidRPr="00394CCB">
              <w:rPr>
                <w:i/>
              </w:rPr>
              <w:t xml:space="preserve"> </w:t>
            </w:r>
            <w:r w:rsidRPr="00394CCB">
              <w:t>ietvaros uz vienu gadu, ja tiek saglabāts darbinieku skaits 80 % apmērā pret iepriekšējā pārskata perioda esošo vidējo darbinieku skaitu un, ja preču vai pakalpojumu eksports sastāda vismaz 50 % no neto apgrozījuma pēdējā gada pārskatā.</w:t>
            </w:r>
          </w:p>
          <w:p w14:paraId="3A4C2EF3" w14:textId="77777777" w:rsidR="00394CCB" w:rsidRPr="00394CCB" w:rsidRDefault="00394CCB" w:rsidP="00394CCB">
            <w:pPr>
              <w:tabs>
                <w:tab w:val="num" w:pos="2040"/>
              </w:tabs>
              <w:contextualSpacing/>
              <w:jc w:val="both"/>
            </w:pPr>
            <w:r w:rsidRPr="00394CCB">
              <w:t>2.3.2.. ražošanas uzņēmumiem par jaunuzceltām ēkām pirmajos trīs gados tiek piemērota nekustamā īpašuma nodokļa atlaide - 90 % apmērā;</w:t>
            </w:r>
          </w:p>
          <w:p w14:paraId="17B1E6A3" w14:textId="77777777" w:rsidR="00394CCB" w:rsidRPr="00394CCB" w:rsidRDefault="00394CCB" w:rsidP="00394CCB">
            <w:pPr>
              <w:tabs>
                <w:tab w:val="num" w:pos="2040"/>
              </w:tabs>
              <w:contextualSpacing/>
              <w:jc w:val="both"/>
            </w:pPr>
            <w:r w:rsidRPr="00394CCB">
              <w:t>2.3.3. ražošanas uzņēmumiem par atjaunotām ēkām pirmajā gadā pēc nodošanas ekspluatācijā tiek piemērota nekustamā īpašuma nodokļa likmes atlaide 50 % apmērā no aprēķinātās summas, otrajā gadā - 25 % apmērā no aprēķinātās summas.</w:t>
            </w:r>
          </w:p>
          <w:p w14:paraId="1EE9C433" w14:textId="77777777" w:rsidR="00394CCB" w:rsidRPr="00394CCB" w:rsidRDefault="00394CCB" w:rsidP="00394CCB">
            <w:pPr>
              <w:tabs>
                <w:tab w:val="num" w:pos="2040"/>
              </w:tabs>
              <w:contextualSpacing/>
              <w:jc w:val="both"/>
            </w:pPr>
            <w:r w:rsidRPr="00394CCB">
              <w:t>2.3.4.. ražošanas uzņēmumiem, kuru īpašumā ir ražošanas ēkas, par ražošanas ēkām, kas tiek izmantotas rūpnieciskai ražošanai, izpildot noteikumos minētos nosacījumus - 25 % apmērā.</w:t>
            </w:r>
          </w:p>
          <w:p w14:paraId="091888DC" w14:textId="77777777" w:rsidR="00394CCB" w:rsidRPr="00394CCB" w:rsidRDefault="00394CCB" w:rsidP="00394CCB">
            <w:pPr>
              <w:tabs>
                <w:tab w:val="num" w:pos="2040"/>
              </w:tabs>
              <w:contextualSpacing/>
              <w:jc w:val="both"/>
            </w:pPr>
            <w:r w:rsidRPr="00394CCB">
              <w:lastRenderedPageBreak/>
              <w:t>2.3.5. viesnīcu ar ēdināšanas pakalpojumu nodrošināšanu īpašniekiem - uzņēmumiem un privātpersonām, kuru īpašumā ir nekustamais īpašums, tai skaitā zeme uz kuras ir ēkas, kuru lietošanas veids ir viesnīca, izpildot noteikumos minētos nosacījumus - 25 % apmērā</w:t>
            </w:r>
          </w:p>
          <w:p w14:paraId="0D471978" w14:textId="77777777" w:rsidR="00394CCB" w:rsidRPr="00394CCB" w:rsidRDefault="00394CCB" w:rsidP="00394CCB">
            <w:pPr>
              <w:tabs>
                <w:tab w:val="num" w:pos="2040"/>
              </w:tabs>
              <w:contextualSpacing/>
              <w:jc w:val="both"/>
            </w:pPr>
            <w:r w:rsidRPr="00394CCB">
              <w:t>2.4 Limbažu novadā deklarētām fiziskām personām un Uzņēmumu reģistrā Limbažu novadā reģistrētām juridiskām personām - nodokļu maksātājiem par zemi Limbažu novadā, uz kuras bioloģiskās lauksaimniecības kontroles sistēmā reģistrēta fiziska vai juridiska persona veic bioloģiskās lauksaimniecības produkcijas ražošanu.- 50 % apmērā.</w:t>
            </w:r>
          </w:p>
          <w:p w14:paraId="7BA8D73F" w14:textId="77777777" w:rsidR="00394CCB" w:rsidRPr="00394CCB" w:rsidRDefault="00394CCB" w:rsidP="00394CCB">
            <w:pPr>
              <w:contextualSpacing/>
              <w:jc w:val="both"/>
              <w:rPr>
                <w:strike/>
              </w:rPr>
            </w:pPr>
          </w:p>
        </w:tc>
      </w:tr>
      <w:tr w:rsidR="00394CCB" w:rsidRPr="00394CCB" w14:paraId="12857811" w14:textId="77777777" w:rsidTr="0033190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6FEFAD2A" w14:textId="77777777" w:rsidR="00394CCB" w:rsidRPr="00394CCB" w:rsidRDefault="00394CCB" w:rsidP="00394CCB">
            <w:r w:rsidRPr="00394CCB">
              <w:lastRenderedPageBreak/>
              <w:t>3. Informācija par plānoto projekta ietekmi uz pašvaldības budžetu</w:t>
            </w:r>
          </w:p>
        </w:tc>
        <w:tc>
          <w:tcPr>
            <w:tcW w:w="4000" w:type="pct"/>
            <w:tcBorders>
              <w:top w:val="outset" w:sz="6" w:space="0" w:color="000000"/>
              <w:left w:val="outset" w:sz="6" w:space="0" w:color="000000"/>
              <w:bottom w:val="outset" w:sz="6" w:space="0" w:color="000000"/>
              <w:right w:val="outset" w:sz="6" w:space="0" w:color="000000"/>
            </w:tcBorders>
            <w:hideMark/>
          </w:tcPr>
          <w:p w14:paraId="58D3139A" w14:textId="77777777" w:rsidR="00394CCB" w:rsidRPr="00394CCB" w:rsidRDefault="00394CCB" w:rsidP="00394CCB">
            <w:pPr>
              <w:jc w:val="both"/>
            </w:pPr>
            <w:r w:rsidRPr="00394CCB">
              <w:t xml:space="preserve">Ietekme uz pašvaldības budžetu tiks radīta un tiks ņemta vērā plānojot budžeta līdzekļu izlietojumu. </w:t>
            </w:r>
          </w:p>
          <w:p w14:paraId="34A3D1CA" w14:textId="77777777" w:rsidR="00394CCB" w:rsidRPr="00394CCB" w:rsidRDefault="00394CCB" w:rsidP="00394CCB">
            <w:pPr>
              <w:jc w:val="both"/>
            </w:pPr>
            <w:r w:rsidRPr="00394CCB">
              <w:t>Limbažu novada pašvaldības 2022.gada budžetā prognozējams papildus izdevumu pieaugums ap 85 504.00 EUR.</w:t>
            </w:r>
          </w:p>
          <w:p w14:paraId="0BB3F9DE" w14:textId="77777777" w:rsidR="00394CCB" w:rsidRPr="00394CCB" w:rsidRDefault="00394CCB" w:rsidP="00394CCB">
            <w:pPr>
              <w:jc w:val="both"/>
            </w:pPr>
          </w:p>
        </w:tc>
      </w:tr>
      <w:tr w:rsidR="00394CCB" w:rsidRPr="00394CCB" w14:paraId="42EF1AD4" w14:textId="77777777" w:rsidTr="0033190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255BE36B" w14:textId="77777777" w:rsidR="00394CCB" w:rsidRPr="00394CCB" w:rsidRDefault="00394CCB" w:rsidP="00394CCB">
            <w:r w:rsidRPr="00394CCB">
              <w:t>4. Informācija par plānoto projekta ietekmi uz uzņēmējdarbības vidi pašvaldības teritorijā</w:t>
            </w:r>
          </w:p>
        </w:tc>
        <w:tc>
          <w:tcPr>
            <w:tcW w:w="4000" w:type="pct"/>
            <w:tcBorders>
              <w:top w:val="outset" w:sz="6" w:space="0" w:color="000000"/>
              <w:left w:val="outset" w:sz="6" w:space="0" w:color="000000"/>
              <w:bottom w:val="outset" w:sz="6" w:space="0" w:color="000000"/>
              <w:right w:val="outset" w:sz="6" w:space="0" w:color="000000"/>
            </w:tcBorders>
            <w:hideMark/>
          </w:tcPr>
          <w:p w14:paraId="51303F09" w14:textId="77777777" w:rsidR="00394CCB" w:rsidRPr="00394CCB" w:rsidRDefault="00394CCB" w:rsidP="00394CCB">
            <w:pPr>
              <w:jc w:val="both"/>
            </w:pPr>
            <w:r w:rsidRPr="00394CCB">
              <w:t>Saistošie noteikumi tiek piemēroti visā Limbažu novada administratīvajā teritorijā un paredz uzņēmējdarbības veicinošus pasākumus. Noteikumi rosinās zemes īpašniekus bioloģiski apstrādāt vai iznomāt citām personām lauksaimniecībā izmantojamo zemi, tā īstenojot Eiropā noteikto zaļo kursu.</w:t>
            </w:r>
          </w:p>
        </w:tc>
      </w:tr>
      <w:tr w:rsidR="00394CCB" w:rsidRPr="00394CCB" w14:paraId="46FA46EC" w14:textId="77777777" w:rsidTr="0033190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69E519B2" w14:textId="77777777" w:rsidR="00394CCB" w:rsidRPr="00394CCB" w:rsidRDefault="00394CCB" w:rsidP="00394CCB">
            <w:r w:rsidRPr="00394CCB">
              <w:t>5. Informācija par administratīvajām procedūrām</w:t>
            </w:r>
          </w:p>
        </w:tc>
        <w:tc>
          <w:tcPr>
            <w:tcW w:w="4000" w:type="pct"/>
            <w:tcBorders>
              <w:top w:val="outset" w:sz="6" w:space="0" w:color="000000"/>
              <w:left w:val="outset" w:sz="6" w:space="0" w:color="000000"/>
              <w:bottom w:val="outset" w:sz="6" w:space="0" w:color="000000"/>
              <w:right w:val="outset" w:sz="6" w:space="0" w:color="000000"/>
            </w:tcBorders>
            <w:hideMark/>
          </w:tcPr>
          <w:p w14:paraId="1517A3F9" w14:textId="77777777" w:rsidR="00394CCB" w:rsidRPr="00394CCB" w:rsidRDefault="00394CCB" w:rsidP="00394CCB">
            <w:pPr>
              <w:jc w:val="both"/>
            </w:pPr>
            <w:r w:rsidRPr="00394CCB">
              <w:t>Saistošo noteikumu izpildi nodrošina Limbažu novada pašvaldības nodokļu administratori</w:t>
            </w:r>
          </w:p>
        </w:tc>
      </w:tr>
      <w:tr w:rsidR="00394CCB" w:rsidRPr="00394CCB" w14:paraId="0DCA3AB7" w14:textId="77777777" w:rsidTr="00331904">
        <w:trPr>
          <w:trHeight w:val="8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0A7F9FCF" w14:textId="77777777" w:rsidR="00394CCB" w:rsidRPr="00394CCB" w:rsidRDefault="00394CCB" w:rsidP="00394CCB">
            <w:r w:rsidRPr="00394CCB">
              <w:t>6. Informācija par konsultācijām ar privātpersonām</w:t>
            </w:r>
          </w:p>
        </w:tc>
        <w:tc>
          <w:tcPr>
            <w:tcW w:w="4000" w:type="pct"/>
            <w:tcBorders>
              <w:top w:val="outset" w:sz="6" w:space="0" w:color="000000"/>
              <w:left w:val="outset" w:sz="6" w:space="0" w:color="000000"/>
              <w:bottom w:val="outset" w:sz="6" w:space="0" w:color="000000"/>
              <w:right w:val="outset" w:sz="6" w:space="0" w:color="000000"/>
            </w:tcBorders>
            <w:hideMark/>
          </w:tcPr>
          <w:p w14:paraId="5D227408" w14:textId="77777777" w:rsidR="00394CCB" w:rsidRPr="00394CCB" w:rsidRDefault="00394CCB" w:rsidP="00394CCB">
            <w:pPr>
              <w:jc w:val="both"/>
            </w:pPr>
            <w:r w:rsidRPr="00394CCB">
              <w:t>Nav attiecināms.</w:t>
            </w:r>
          </w:p>
        </w:tc>
      </w:tr>
    </w:tbl>
    <w:p w14:paraId="2E40465B" w14:textId="77777777" w:rsidR="00C31651" w:rsidRDefault="00C31651" w:rsidP="00C31651">
      <w:pPr>
        <w:ind w:firstLine="180"/>
        <w:jc w:val="center"/>
        <w:rPr>
          <w:b/>
          <w:bCs/>
          <w:caps/>
        </w:rPr>
      </w:pPr>
      <w:bookmarkStart w:id="0" w:name="_GoBack"/>
      <w:bookmarkEnd w:id="0"/>
    </w:p>
    <w:p w14:paraId="1EFBFAD5" w14:textId="77777777" w:rsidR="003105CE" w:rsidRPr="00221AFF" w:rsidRDefault="003105CE" w:rsidP="00C31651">
      <w:pPr>
        <w:ind w:firstLine="180"/>
        <w:jc w:val="center"/>
        <w:rPr>
          <w:b/>
          <w:bCs/>
          <w:caps/>
        </w:rPr>
      </w:pPr>
    </w:p>
    <w:p w14:paraId="72D7EF17" w14:textId="77777777" w:rsidR="00C31651" w:rsidRPr="00221AFF" w:rsidRDefault="00C31651" w:rsidP="00C31651">
      <w:pPr>
        <w:jc w:val="both"/>
      </w:pPr>
      <w:r w:rsidRPr="00221AFF">
        <w:t>Limbažu novada pašvaldības</w:t>
      </w:r>
    </w:p>
    <w:p w14:paraId="60FC43FC" w14:textId="77777777" w:rsidR="00C31651" w:rsidRDefault="00C31651" w:rsidP="00C31651">
      <w:pPr>
        <w:jc w:val="both"/>
      </w:pPr>
      <w:r w:rsidRPr="00221AFF">
        <w:t>Domes priekšsēdētājs</w:t>
      </w:r>
      <w:r w:rsidRPr="00221AFF">
        <w:tab/>
      </w:r>
      <w:r w:rsidRPr="00221AFF">
        <w:tab/>
      </w:r>
      <w:r w:rsidRPr="00221AFF">
        <w:tab/>
      </w:r>
      <w:r w:rsidRPr="00221AFF">
        <w:tab/>
      </w:r>
      <w:r w:rsidRPr="00221AFF">
        <w:tab/>
      </w:r>
      <w:r w:rsidRPr="00221AFF">
        <w:tab/>
      </w:r>
      <w:r w:rsidRPr="00221AFF">
        <w:tab/>
      </w:r>
      <w:r w:rsidRPr="00221AFF">
        <w:tab/>
      </w:r>
      <w:r w:rsidRPr="00221AFF">
        <w:tab/>
      </w:r>
      <w:proofErr w:type="spellStart"/>
      <w:r w:rsidRPr="00221AFF">
        <w:t>D.Straubergs</w:t>
      </w:r>
      <w:proofErr w:type="spellEnd"/>
    </w:p>
    <w:p w14:paraId="1CB59C11" w14:textId="77777777" w:rsidR="00C31651" w:rsidRPr="00221AFF" w:rsidRDefault="00C31651" w:rsidP="006852AA">
      <w:pPr>
        <w:autoSpaceDE w:val="0"/>
        <w:autoSpaceDN w:val="0"/>
        <w:adjustRightInd w:val="0"/>
        <w:jc w:val="center"/>
      </w:pPr>
    </w:p>
    <w:sectPr w:rsidR="00C31651" w:rsidRPr="00221AFF" w:rsidSect="006852AA">
      <w:headerReference w:type="default" r:id="rId9"/>
      <w:headerReference w:type="firs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37B07" w14:textId="77777777" w:rsidR="0049452F" w:rsidRDefault="0049452F" w:rsidP="003105CE">
      <w:r>
        <w:separator/>
      </w:r>
    </w:p>
  </w:endnote>
  <w:endnote w:type="continuationSeparator" w:id="0">
    <w:p w14:paraId="52E3A332" w14:textId="77777777" w:rsidR="0049452F" w:rsidRDefault="0049452F" w:rsidP="0031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5F4D8" w14:textId="77777777" w:rsidR="0049452F" w:rsidRDefault="0049452F" w:rsidP="003105CE">
      <w:r>
        <w:separator/>
      </w:r>
    </w:p>
  </w:footnote>
  <w:footnote w:type="continuationSeparator" w:id="0">
    <w:p w14:paraId="466FC52B" w14:textId="77777777" w:rsidR="0049452F" w:rsidRDefault="0049452F" w:rsidP="0031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99059"/>
      <w:docPartObj>
        <w:docPartGallery w:val="Page Numbers (Top of Page)"/>
        <w:docPartUnique/>
      </w:docPartObj>
    </w:sdtPr>
    <w:sdtEndPr/>
    <w:sdtContent>
      <w:p w14:paraId="63338DFB" w14:textId="20B39B70" w:rsidR="003105CE" w:rsidRDefault="003105CE">
        <w:pPr>
          <w:pStyle w:val="Galvene"/>
          <w:jc w:val="center"/>
        </w:pPr>
        <w:r>
          <w:fldChar w:fldCharType="begin"/>
        </w:r>
        <w:r>
          <w:instrText>PAGE   \* MERGEFORMAT</w:instrText>
        </w:r>
        <w:r>
          <w:fldChar w:fldCharType="separate"/>
        </w:r>
        <w:r w:rsidR="00394CCB">
          <w:rPr>
            <w:noProof/>
          </w:rPr>
          <w:t>2</w:t>
        </w:r>
        <w:r>
          <w:fldChar w:fldCharType="end"/>
        </w:r>
      </w:p>
    </w:sdtContent>
  </w:sdt>
  <w:p w14:paraId="43791213" w14:textId="77777777" w:rsidR="003105CE" w:rsidRDefault="003105C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84DB" w14:textId="1C220166" w:rsidR="006852AA" w:rsidRDefault="006852AA" w:rsidP="006852AA">
    <w:pPr>
      <w:keepNext/>
      <w:jc w:val="center"/>
      <w:outlineLvl w:val="0"/>
      <w:rPr>
        <w:b/>
        <w:bCs/>
        <w:caps/>
        <w:sz w:val="32"/>
        <w:szCs w:val="32"/>
        <w:lang w:eastAsia="x-none"/>
      </w:rPr>
    </w:pPr>
    <w:r>
      <w:rPr>
        <w:caps/>
        <w:noProof/>
      </w:rPr>
      <w:drawing>
        <wp:inline distT="0" distB="0" distL="0" distR="0" wp14:anchorId="5F9C62AC" wp14:editId="0D82384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B5F607E" w14:textId="77777777" w:rsidR="006852AA" w:rsidRPr="006852AA" w:rsidRDefault="006852AA" w:rsidP="006852AA">
    <w:pPr>
      <w:keepNext/>
      <w:jc w:val="center"/>
      <w:outlineLvl w:val="0"/>
      <w:rPr>
        <w:b/>
        <w:bCs/>
        <w:caps/>
        <w:sz w:val="32"/>
        <w:szCs w:val="32"/>
        <w:lang w:eastAsia="x-none"/>
      </w:rPr>
    </w:pPr>
    <w:r w:rsidRPr="006852AA">
      <w:rPr>
        <w:b/>
        <w:bCs/>
        <w:caps/>
        <w:sz w:val="32"/>
        <w:szCs w:val="32"/>
        <w:lang w:eastAsia="x-none"/>
      </w:rPr>
      <w:t>LIMBAŽU novada DOME</w:t>
    </w:r>
  </w:p>
  <w:p w14:paraId="35057361" w14:textId="77777777" w:rsidR="006852AA" w:rsidRPr="006852AA" w:rsidRDefault="006852AA" w:rsidP="006852AA">
    <w:pPr>
      <w:jc w:val="center"/>
      <w:rPr>
        <w:sz w:val="18"/>
        <w:szCs w:val="20"/>
      </w:rPr>
    </w:pPr>
    <w:proofErr w:type="spellStart"/>
    <w:r w:rsidRPr="006852AA">
      <w:rPr>
        <w:sz w:val="18"/>
        <w:szCs w:val="20"/>
      </w:rPr>
      <w:t>Reģ</w:t>
    </w:r>
    <w:proofErr w:type="spellEnd"/>
    <w:r w:rsidRPr="006852AA">
      <w:rPr>
        <w:sz w:val="18"/>
        <w:szCs w:val="20"/>
      </w:rPr>
      <w:t xml:space="preserve">. Nr. 90009114631, Rīgas iela 16, Limbaži, Limbažu novads, LV–4001; </w:t>
    </w:r>
  </w:p>
  <w:p w14:paraId="2D280D28" w14:textId="77777777" w:rsidR="006852AA" w:rsidRPr="006852AA" w:rsidRDefault="006852AA" w:rsidP="006852AA">
    <w:pPr>
      <w:jc w:val="center"/>
      <w:rPr>
        <w:sz w:val="18"/>
        <w:szCs w:val="20"/>
      </w:rPr>
    </w:pPr>
    <w:r w:rsidRPr="006852AA">
      <w:rPr>
        <w:sz w:val="18"/>
      </w:rPr>
      <w:t>E-adrese _</w:t>
    </w:r>
    <w:r w:rsidRPr="006852AA">
      <w:rPr>
        <w:sz w:val="18"/>
        <w:szCs w:val="18"/>
      </w:rPr>
      <w:t xml:space="preserve">DEFAULT@90009114631; </w:t>
    </w:r>
    <w:r w:rsidRPr="006852AA">
      <w:rPr>
        <w:sz w:val="18"/>
        <w:szCs w:val="20"/>
      </w:rPr>
      <w:t>e-pasts</w:t>
    </w:r>
    <w:r w:rsidRPr="006852AA">
      <w:rPr>
        <w:iCs/>
        <w:sz w:val="18"/>
        <w:szCs w:val="20"/>
      </w:rPr>
      <w:t xml:space="preserve"> pasts@limbazi.lv;</w:t>
    </w:r>
    <w:r w:rsidRPr="006852AA">
      <w:rPr>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57BF"/>
    <w:multiLevelType w:val="multilevel"/>
    <w:tmpl w:val="09F0A1D0"/>
    <w:lvl w:ilvl="0">
      <w:start w:val="1"/>
      <w:numFmt w:val="decimal"/>
      <w:lvlText w:val="%1."/>
      <w:lvlJc w:val="left"/>
      <w:pPr>
        <w:ind w:left="450" w:hanging="450"/>
      </w:pPr>
      <w:rPr>
        <w:rFonts w:hint="default"/>
      </w:rPr>
    </w:lvl>
    <w:lvl w:ilvl="1">
      <w:start w:val="1"/>
      <w:numFmt w:val="decimal"/>
      <w:lvlText w:val="%1.%2."/>
      <w:lvlJc w:val="left"/>
      <w:pPr>
        <w:ind w:left="529" w:hanging="450"/>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1" w15:restartNumberingAfterBreak="0">
    <w:nsid w:val="04561638"/>
    <w:multiLevelType w:val="multilevel"/>
    <w:tmpl w:val="23642A4C"/>
    <w:lvl w:ilvl="0">
      <w:start w:val="2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522E6D2A"/>
    <w:multiLevelType w:val="multilevel"/>
    <w:tmpl w:val="60FAE67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021"/>
        </w:tabs>
        <w:ind w:left="567" w:firstLine="0"/>
      </w:pPr>
      <w:rPr>
        <w:rFonts w:hint="default"/>
      </w:rPr>
    </w:lvl>
    <w:lvl w:ilvl="2">
      <w:start w:val="1"/>
      <w:numFmt w:val="decimal"/>
      <w:isLgl/>
      <w:lvlText w:val="%1.%2.%3."/>
      <w:lvlJc w:val="left"/>
      <w:pPr>
        <w:tabs>
          <w:tab w:val="num" w:pos="1701"/>
        </w:tabs>
        <w:ind w:left="2421" w:hanging="720"/>
      </w:pPr>
      <w:rPr>
        <w:rFonts w:hint="default"/>
      </w:rPr>
    </w:lvl>
    <w:lvl w:ilvl="3">
      <w:start w:val="1"/>
      <w:numFmt w:val="decimal"/>
      <w:isLgl/>
      <w:lvlText w:val="%1.%2.%3.%4."/>
      <w:lvlJc w:val="left"/>
      <w:pPr>
        <w:tabs>
          <w:tab w:val="num" w:pos="5220"/>
        </w:tabs>
        <w:ind w:left="5220" w:hanging="720"/>
      </w:pPr>
      <w:rPr>
        <w:rFonts w:hint="default"/>
      </w:rPr>
    </w:lvl>
    <w:lvl w:ilvl="4">
      <w:start w:val="1"/>
      <w:numFmt w:val="decimal"/>
      <w:isLgl/>
      <w:lvlText w:val="%1.%2.%3.%4.%5"/>
      <w:lvlJc w:val="left"/>
      <w:pPr>
        <w:tabs>
          <w:tab w:val="num" w:pos="7020"/>
        </w:tabs>
        <w:ind w:left="7020" w:hanging="1080"/>
      </w:pPr>
      <w:rPr>
        <w:rFonts w:hint="default"/>
      </w:rPr>
    </w:lvl>
    <w:lvl w:ilvl="5">
      <w:start w:val="1"/>
      <w:numFmt w:val="decimal"/>
      <w:isLgl/>
      <w:lvlText w:val="%1.%2.%3.%4.%5.%6"/>
      <w:lvlJc w:val="left"/>
      <w:pPr>
        <w:tabs>
          <w:tab w:val="num" w:pos="8460"/>
        </w:tabs>
        <w:ind w:left="8460"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700"/>
        </w:tabs>
        <w:ind w:left="11700" w:hanging="1440"/>
      </w:pPr>
      <w:rPr>
        <w:rFonts w:hint="default"/>
      </w:rPr>
    </w:lvl>
    <w:lvl w:ilvl="8">
      <w:start w:val="1"/>
      <w:numFmt w:val="decimal"/>
      <w:isLgl/>
      <w:lvlText w:val="%1.%2.%3.%4.%5.%6.%7.%8.%9"/>
      <w:lvlJc w:val="left"/>
      <w:pPr>
        <w:tabs>
          <w:tab w:val="num" w:pos="13500"/>
        </w:tabs>
        <w:ind w:left="13500" w:hanging="1800"/>
      </w:pPr>
      <w:rPr>
        <w:rFonts w:hint="default"/>
      </w:rPr>
    </w:lvl>
  </w:abstractNum>
  <w:abstractNum w:abstractNumId="3"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09F5ABA"/>
    <w:multiLevelType w:val="multilevel"/>
    <w:tmpl w:val="60FAE67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021"/>
        </w:tabs>
        <w:ind w:left="567" w:firstLine="0"/>
      </w:pPr>
      <w:rPr>
        <w:rFonts w:hint="default"/>
      </w:rPr>
    </w:lvl>
    <w:lvl w:ilvl="2">
      <w:start w:val="1"/>
      <w:numFmt w:val="decimal"/>
      <w:isLgl/>
      <w:lvlText w:val="%1.%2.%3."/>
      <w:lvlJc w:val="left"/>
      <w:pPr>
        <w:tabs>
          <w:tab w:val="num" w:pos="1701"/>
        </w:tabs>
        <w:ind w:left="2421" w:hanging="720"/>
      </w:pPr>
      <w:rPr>
        <w:rFonts w:hint="default"/>
      </w:rPr>
    </w:lvl>
    <w:lvl w:ilvl="3">
      <w:start w:val="1"/>
      <w:numFmt w:val="decimal"/>
      <w:isLgl/>
      <w:lvlText w:val="%1.%2.%3.%4."/>
      <w:lvlJc w:val="left"/>
      <w:pPr>
        <w:tabs>
          <w:tab w:val="num" w:pos="5220"/>
        </w:tabs>
        <w:ind w:left="5220" w:hanging="720"/>
      </w:pPr>
      <w:rPr>
        <w:rFonts w:hint="default"/>
      </w:rPr>
    </w:lvl>
    <w:lvl w:ilvl="4">
      <w:start w:val="1"/>
      <w:numFmt w:val="decimal"/>
      <w:isLgl/>
      <w:lvlText w:val="%1.%2.%3.%4.%5"/>
      <w:lvlJc w:val="left"/>
      <w:pPr>
        <w:tabs>
          <w:tab w:val="num" w:pos="7020"/>
        </w:tabs>
        <w:ind w:left="7020" w:hanging="1080"/>
      </w:pPr>
      <w:rPr>
        <w:rFonts w:hint="default"/>
      </w:rPr>
    </w:lvl>
    <w:lvl w:ilvl="5">
      <w:start w:val="1"/>
      <w:numFmt w:val="decimal"/>
      <w:isLgl/>
      <w:lvlText w:val="%1.%2.%3.%4.%5.%6"/>
      <w:lvlJc w:val="left"/>
      <w:pPr>
        <w:tabs>
          <w:tab w:val="num" w:pos="8460"/>
        </w:tabs>
        <w:ind w:left="8460"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700"/>
        </w:tabs>
        <w:ind w:left="11700" w:hanging="1440"/>
      </w:pPr>
      <w:rPr>
        <w:rFonts w:hint="default"/>
      </w:rPr>
    </w:lvl>
    <w:lvl w:ilvl="8">
      <w:start w:val="1"/>
      <w:numFmt w:val="decimal"/>
      <w:isLgl/>
      <w:lvlText w:val="%1.%2.%3.%4.%5.%6.%7.%8.%9"/>
      <w:lvlJc w:val="left"/>
      <w:pPr>
        <w:tabs>
          <w:tab w:val="num" w:pos="13500"/>
        </w:tabs>
        <w:ind w:left="13500" w:hanging="1800"/>
      </w:pPr>
      <w:rPr>
        <w:rFonts w:hint="default"/>
      </w:rPr>
    </w:lvl>
  </w:abstractNum>
  <w:num w:numId="1">
    <w:abstractNumId w:val="4"/>
  </w:num>
  <w:num w:numId="2">
    <w:abstractNumId w:val="4"/>
    <w:lvlOverride w:ilvl="0">
      <w:lvl w:ilvl="0">
        <w:start w:val="1"/>
        <w:numFmt w:val="decimal"/>
        <w:lvlText w:val="%1."/>
        <w:lvlJc w:val="left"/>
        <w:pPr>
          <w:tabs>
            <w:tab w:val="num" w:pos="540"/>
          </w:tabs>
          <w:ind w:left="540" w:hanging="360"/>
        </w:pPr>
        <w:rPr>
          <w:rFonts w:hint="default"/>
        </w:rPr>
      </w:lvl>
    </w:lvlOverride>
    <w:lvlOverride w:ilvl="1">
      <w:lvl w:ilvl="1">
        <w:start w:val="1"/>
        <w:numFmt w:val="decimal"/>
        <w:isLgl/>
        <w:lvlText w:val="%1.%2."/>
        <w:lvlJc w:val="left"/>
        <w:pPr>
          <w:tabs>
            <w:tab w:val="num" w:pos="1021"/>
          </w:tabs>
          <w:ind w:left="567" w:firstLine="0"/>
        </w:pPr>
        <w:rPr>
          <w:rFonts w:hint="default"/>
        </w:rPr>
      </w:lvl>
    </w:lvlOverride>
    <w:lvlOverride w:ilvl="2">
      <w:lvl w:ilvl="2">
        <w:start w:val="1"/>
        <w:numFmt w:val="decimal"/>
        <w:isLgl/>
        <w:lvlText w:val="%1.%2.%3."/>
        <w:lvlJc w:val="left"/>
        <w:pPr>
          <w:tabs>
            <w:tab w:val="num" w:pos="1701"/>
          </w:tabs>
          <w:ind w:left="2421" w:hanging="720"/>
        </w:pPr>
        <w:rPr>
          <w:rFonts w:hint="default"/>
        </w:rPr>
      </w:lvl>
    </w:lvlOverride>
    <w:lvlOverride w:ilvl="3">
      <w:lvl w:ilvl="3">
        <w:start w:val="1"/>
        <w:numFmt w:val="decimal"/>
        <w:isLgl/>
        <w:lvlText w:val="%1.%2.%3.%4."/>
        <w:lvlJc w:val="left"/>
        <w:pPr>
          <w:tabs>
            <w:tab w:val="num" w:pos="1701"/>
          </w:tabs>
          <w:ind w:left="1701" w:firstLine="0"/>
        </w:pPr>
        <w:rPr>
          <w:rFonts w:hint="default"/>
        </w:rPr>
      </w:lvl>
    </w:lvlOverride>
    <w:lvlOverride w:ilvl="4">
      <w:lvl w:ilvl="4">
        <w:start w:val="1"/>
        <w:numFmt w:val="decimal"/>
        <w:isLgl/>
        <w:lvlText w:val="%1.%2.%3.%4.%5"/>
        <w:lvlJc w:val="left"/>
        <w:pPr>
          <w:tabs>
            <w:tab w:val="num" w:pos="7020"/>
          </w:tabs>
          <w:ind w:left="7020" w:hanging="1080"/>
        </w:pPr>
        <w:rPr>
          <w:rFonts w:hint="default"/>
        </w:rPr>
      </w:lvl>
    </w:lvlOverride>
    <w:lvlOverride w:ilvl="5">
      <w:lvl w:ilvl="5">
        <w:start w:val="1"/>
        <w:numFmt w:val="decimal"/>
        <w:isLgl/>
        <w:lvlText w:val="%1.%2.%3.%4.%5.%6"/>
        <w:lvlJc w:val="left"/>
        <w:pPr>
          <w:tabs>
            <w:tab w:val="num" w:pos="8460"/>
          </w:tabs>
          <w:ind w:left="8460" w:hanging="1080"/>
        </w:pPr>
        <w:rPr>
          <w:rFonts w:hint="default"/>
        </w:rPr>
      </w:lvl>
    </w:lvlOverride>
    <w:lvlOverride w:ilvl="6">
      <w:lvl w:ilvl="6">
        <w:start w:val="1"/>
        <w:numFmt w:val="decimal"/>
        <w:isLgl/>
        <w:lvlText w:val="%1.%2.%3.%4.%5.%6.%7"/>
        <w:lvlJc w:val="left"/>
        <w:pPr>
          <w:tabs>
            <w:tab w:val="num" w:pos="10260"/>
          </w:tabs>
          <w:ind w:left="10260" w:hanging="1440"/>
        </w:pPr>
        <w:rPr>
          <w:rFonts w:hint="default"/>
        </w:rPr>
      </w:lvl>
    </w:lvlOverride>
    <w:lvlOverride w:ilvl="7">
      <w:lvl w:ilvl="7">
        <w:start w:val="1"/>
        <w:numFmt w:val="decimal"/>
        <w:isLgl/>
        <w:lvlText w:val="%1.%2.%3.%4.%5.%6.%7.%8"/>
        <w:lvlJc w:val="left"/>
        <w:pPr>
          <w:tabs>
            <w:tab w:val="num" w:pos="11700"/>
          </w:tabs>
          <w:ind w:left="11700" w:hanging="1440"/>
        </w:pPr>
        <w:rPr>
          <w:rFonts w:hint="default"/>
        </w:rPr>
      </w:lvl>
    </w:lvlOverride>
    <w:lvlOverride w:ilvl="8">
      <w:lvl w:ilvl="8">
        <w:start w:val="1"/>
        <w:numFmt w:val="decimal"/>
        <w:isLgl/>
        <w:lvlText w:val="%1.%2.%3.%4.%5.%6.%7.%8.%9"/>
        <w:lvlJc w:val="left"/>
        <w:pPr>
          <w:tabs>
            <w:tab w:val="num" w:pos="13500"/>
          </w:tabs>
          <w:ind w:left="13500" w:hanging="1800"/>
        </w:pPr>
        <w:rPr>
          <w:rFonts w:hint="default"/>
        </w:rPr>
      </w:lvl>
    </w:lvlOverride>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51"/>
    <w:rsid w:val="00047F1E"/>
    <w:rsid w:val="000C7715"/>
    <w:rsid w:val="001578B4"/>
    <w:rsid w:val="00191D38"/>
    <w:rsid w:val="00221AFF"/>
    <w:rsid w:val="002F1021"/>
    <w:rsid w:val="003105CE"/>
    <w:rsid w:val="003617C7"/>
    <w:rsid w:val="00394CCB"/>
    <w:rsid w:val="00426EC2"/>
    <w:rsid w:val="0049452F"/>
    <w:rsid w:val="004E1DF6"/>
    <w:rsid w:val="005575E5"/>
    <w:rsid w:val="00602CA7"/>
    <w:rsid w:val="006852AA"/>
    <w:rsid w:val="00811C58"/>
    <w:rsid w:val="00C31651"/>
    <w:rsid w:val="00CB040F"/>
    <w:rsid w:val="00D7241C"/>
    <w:rsid w:val="00DC4283"/>
    <w:rsid w:val="00F537A8"/>
    <w:rsid w:val="00F85846"/>
    <w:rsid w:val="00FA7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E5A6"/>
  <w15:chartTrackingRefBased/>
  <w15:docId w15:val="{43C7A281-9D5D-4CC3-8D6A-84950F42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3165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C31651"/>
    <w:pPr>
      <w:suppressAutoHyphens/>
      <w:spacing w:after="0"/>
      <w:jc w:val="both"/>
    </w:pPr>
    <w:rPr>
      <w:rFonts w:eastAsiaTheme="minorEastAsia" w:cs="Tahoma"/>
      <w:lang w:eastAsia="ar-SA"/>
    </w:rPr>
  </w:style>
  <w:style w:type="paragraph" w:styleId="Sarakstarindkopa">
    <w:name w:val="List Paragraph"/>
    <w:basedOn w:val="Parasts"/>
    <w:uiPriority w:val="34"/>
    <w:qFormat/>
    <w:rsid w:val="00C31651"/>
    <w:pPr>
      <w:spacing w:after="200" w:line="276" w:lineRule="auto"/>
      <w:ind w:left="720"/>
      <w:contextualSpacing/>
      <w:jc w:val="both"/>
    </w:pPr>
    <w:rPr>
      <w:rFonts w:eastAsiaTheme="minorHAnsi" w:cstheme="minorBidi"/>
      <w:szCs w:val="22"/>
      <w:lang w:eastAsia="en-US"/>
    </w:rPr>
  </w:style>
  <w:style w:type="paragraph" w:styleId="Pamatteksts">
    <w:name w:val="Body Text"/>
    <w:basedOn w:val="Parasts"/>
    <w:link w:val="PamattekstsRakstz"/>
    <w:uiPriority w:val="99"/>
    <w:semiHidden/>
    <w:unhideWhenUsed/>
    <w:rsid w:val="00C31651"/>
    <w:pPr>
      <w:spacing w:after="120"/>
    </w:pPr>
  </w:style>
  <w:style w:type="character" w:customStyle="1" w:styleId="PamattekstsRakstz">
    <w:name w:val="Pamatteksts Rakstz."/>
    <w:basedOn w:val="Noklusjumarindkopasfonts"/>
    <w:link w:val="Pamatteksts"/>
    <w:uiPriority w:val="99"/>
    <w:semiHidden/>
    <w:rsid w:val="00C31651"/>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31651"/>
    <w:rPr>
      <w:sz w:val="16"/>
      <w:szCs w:val="16"/>
    </w:rPr>
  </w:style>
  <w:style w:type="paragraph" w:styleId="Komentrateksts">
    <w:name w:val="annotation text"/>
    <w:basedOn w:val="Parasts"/>
    <w:link w:val="KomentratekstsRakstz"/>
    <w:uiPriority w:val="99"/>
    <w:semiHidden/>
    <w:unhideWhenUsed/>
    <w:rsid w:val="00C31651"/>
    <w:rPr>
      <w:sz w:val="20"/>
      <w:szCs w:val="20"/>
    </w:rPr>
  </w:style>
  <w:style w:type="character" w:customStyle="1" w:styleId="KomentratekstsRakstz">
    <w:name w:val="Komentāra teksts Rakstz."/>
    <w:basedOn w:val="Noklusjumarindkopasfonts"/>
    <w:link w:val="Komentrateksts"/>
    <w:uiPriority w:val="99"/>
    <w:semiHidden/>
    <w:rsid w:val="00C31651"/>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31651"/>
    <w:rPr>
      <w:b/>
      <w:bCs/>
    </w:rPr>
  </w:style>
  <w:style w:type="character" w:customStyle="1" w:styleId="KomentratmaRakstz">
    <w:name w:val="Komentāra tēma Rakstz."/>
    <w:basedOn w:val="KomentratekstsRakstz"/>
    <w:link w:val="Komentratma"/>
    <w:uiPriority w:val="99"/>
    <w:semiHidden/>
    <w:rsid w:val="00C31651"/>
    <w:rPr>
      <w:rFonts w:ascii="Times New Roman" w:eastAsia="Times New Roman" w:hAnsi="Times New Roman" w:cs="Times New Roman"/>
      <w:b/>
      <w:bCs/>
      <w:sz w:val="20"/>
      <w:szCs w:val="20"/>
      <w:lang w:eastAsia="lv-LV"/>
    </w:rPr>
  </w:style>
  <w:style w:type="paragraph" w:customStyle="1" w:styleId="tv213">
    <w:name w:val="tv213"/>
    <w:basedOn w:val="Parasts"/>
    <w:rsid w:val="00FA798F"/>
    <w:pPr>
      <w:spacing w:before="100" w:beforeAutospacing="1" w:after="100" w:afterAutospacing="1"/>
    </w:pPr>
  </w:style>
  <w:style w:type="paragraph" w:styleId="Galvene">
    <w:name w:val="header"/>
    <w:basedOn w:val="Parasts"/>
    <w:link w:val="GalveneRakstz"/>
    <w:uiPriority w:val="99"/>
    <w:unhideWhenUsed/>
    <w:rsid w:val="003105CE"/>
    <w:pPr>
      <w:tabs>
        <w:tab w:val="center" w:pos="4153"/>
        <w:tab w:val="right" w:pos="8306"/>
      </w:tabs>
    </w:pPr>
  </w:style>
  <w:style w:type="character" w:customStyle="1" w:styleId="GalveneRakstz">
    <w:name w:val="Galvene Rakstz."/>
    <w:basedOn w:val="Noklusjumarindkopasfonts"/>
    <w:link w:val="Galvene"/>
    <w:uiPriority w:val="99"/>
    <w:rsid w:val="003105C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105CE"/>
    <w:pPr>
      <w:tabs>
        <w:tab w:val="center" w:pos="4153"/>
        <w:tab w:val="right" w:pos="8306"/>
      </w:tabs>
    </w:pPr>
  </w:style>
  <w:style w:type="character" w:customStyle="1" w:styleId="KjeneRakstz">
    <w:name w:val="Kājene Rakstz."/>
    <w:basedOn w:val="Noklusjumarindkopasfonts"/>
    <w:link w:val="Kjene"/>
    <w:uiPriority w:val="99"/>
    <w:rsid w:val="003105C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913-par-nekustama-ipasuma-nodokli" TargetMode="External"/><Relationship Id="rId3" Type="http://schemas.openxmlformats.org/officeDocument/2006/relationships/settings" Target="settings.xml"/><Relationship Id="rId7" Type="http://schemas.openxmlformats.org/officeDocument/2006/relationships/hyperlink" Target="https://likumi.lv/ta/id/43913-par-nekustama-ipasuma-nodokl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4619</Words>
  <Characters>2633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Dace Tauriņa</cp:lastModifiedBy>
  <cp:revision>7</cp:revision>
  <cp:lastPrinted>2021-09-21T11:15:00Z</cp:lastPrinted>
  <dcterms:created xsi:type="dcterms:W3CDTF">2021-09-14T18:56:00Z</dcterms:created>
  <dcterms:modified xsi:type="dcterms:W3CDTF">2021-09-28T06:52:00Z</dcterms:modified>
</cp:coreProperties>
</file>