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97BD5" w14:textId="77777777" w:rsidR="00FC7D47" w:rsidRDefault="00FC7D47" w:rsidP="001F3440">
      <w:pPr>
        <w:pStyle w:val="Nosaukums"/>
        <w:rPr>
          <w:caps/>
          <w:lang w:val="lv-LV"/>
        </w:rPr>
      </w:pPr>
      <w:r>
        <w:rPr>
          <w:caps/>
          <w:noProof/>
          <w:lang w:val="lv-LV" w:eastAsia="lv-LV"/>
        </w:rPr>
        <w:drawing>
          <wp:inline distT="0" distB="0" distL="0" distR="0" wp14:anchorId="42E5F3C4" wp14:editId="0AC586DD">
            <wp:extent cx="770890" cy="901065"/>
            <wp:effectExtent l="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D0562C" w14:textId="3C75AB1D" w:rsidR="00FC7D47" w:rsidRPr="00DE03F1" w:rsidRDefault="00FC7D47" w:rsidP="008455C2">
      <w:pPr>
        <w:jc w:val="center"/>
        <w:rPr>
          <w:b/>
          <w:bCs/>
          <w:caps/>
          <w:sz w:val="28"/>
          <w:szCs w:val="28"/>
        </w:rPr>
      </w:pPr>
      <w:r w:rsidRPr="00DE03F1">
        <w:rPr>
          <w:b/>
          <w:bCs/>
          <w:caps/>
          <w:noProof/>
          <w:sz w:val="28"/>
          <w:szCs w:val="28"/>
        </w:rPr>
        <w:t xml:space="preserve">Limbažu novada </w:t>
      </w:r>
      <w:r w:rsidR="000F1262">
        <w:rPr>
          <w:b/>
          <w:bCs/>
          <w:caps/>
          <w:noProof/>
          <w:sz w:val="28"/>
          <w:szCs w:val="28"/>
        </w:rPr>
        <w:t>DOME</w:t>
      </w:r>
    </w:p>
    <w:p w14:paraId="53C946B0" w14:textId="5F0010DA" w:rsidR="00FC7D47" w:rsidRDefault="00FC7D47" w:rsidP="00E76598">
      <w:pPr>
        <w:jc w:val="center"/>
        <w:rPr>
          <w:sz w:val="18"/>
          <w:szCs w:val="20"/>
        </w:rPr>
      </w:pPr>
      <w:r>
        <w:rPr>
          <w:sz w:val="18"/>
          <w:szCs w:val="20"/>
        </w:rPr>
        <w:t xml:space="preserve">Reģ. Nr. </w:t>
      </w:r>
      <w:r w:rsidR="000F1262" w:rsidRPr="000F1262">
        <w:rPr>
          <w:noProof/>
          <w:sz w:val="18"/>
          <w:szCs w:val="20"/>
        </w:rPr>
        <w:t>90009114631</w:t>
      </w:r>
      <w:r>
        <w:rPr>
          <w:sz w:val="18"/>
          <w:szCs w:val="20"/>
        </w:rPr>
        <w:t xml:space="preserve">; </w:t>
      </w:r>
      <w:r w:rsidRPr="00485668">
        <w:rPr>
          <w:noProof/>
          <w:sz w:val="18"/>
          <w:szCs w:val="20"/>
        </w:rPr>
        <w:t>Rīgas iela 16, Limbaži, Limbažu novads LV-4001</w:t>
      </w:r>
      <w:r>
        <w:rPr>
          <w:sz w:val="18"/>
          <w:szCs w:val="20"/>
        </w:rPr>
        <w:t>;</w:t>
      </w:r>
      <w:r w:rsidRPr="000B7A18">
        <w:rPr>
          <w:sz w:val="18"/>
          <w:szCs w:val="20"/>
        </w:rPr>
        <w:t xml:space="preserve"> </w:t>
      </w:r>
    </w:p>
    <w:p w14:paraId="6BA99F62" w14:textId="4170F003" w:rsidR="00FC7D47" w:rsidRDefault="00FC7D47" w:rsidP="00E76598">
      <w:pPr>
        <w:jc w:val="center"/>
        <w:rPr>
          <w:noProof/>
          <w:sz w:val="18"/>
          <w:szCs w:val="20"/>
        </w:rPr>
      </w:pPr>
      <w:r>
        <w:rPr>
          <w:sz w:val="18"/>
          <w:szCs w:val="20"/>
        </w:rPr>
        <w:t>E-pasts</w:t>
      </w:r>
      <w:r>
        <w:rPr>
          <w:iCs/>
          <w:sz w:val="18"/>
          <w:szCs w:val="20"/>
        </w:rPr>
        <w:t xml:space="preserve"> </w:t>
      </w:r>
      <w:r w:rsidR="00690C91">
        <w:rPr>
          <w:iCs/>
          <w:noProof/>
          <w:sz w:val="18"/>
          <w:szCs w:val="20"/>
        </w:rPr>
        <w:t>pasts</w:t>
      </w:r>
      <w:r w:rsidRPr="00485668">
        <w:rPr>
          <w:iCs/>
          <w:noProof/>
          <w:sz w:val="18"/>
          <w:szCs w:val="20"/>
        </w:rPr>
        <w:t>@limbazunovads.lv</w:t>
      </w:r>
      <w:r>
        <w:rPr>
          <w:iCs/>
          <w:sz w:val="18"/>
          <w:szCs w:val="20"/>
        </w:rPr>
        <w:t>;</w:t>
      </w:r>
      <w:r w:rsidRPr="000B7A18">
        <w:rPr>
          <w:sz w:val="18"/>
          <w:szCs w:val="20"/>
        </w:rPr>
        <w:t xml:space="preserve"> </w:t>
      </w:r>
      <w:r>
        <w:rPr>
          <w:sz w:val="18"/>
          <w:szCs w:val="20"/>
        </w:rPr>
        <w:t xml:space="preserve">tālrunis </w:t>
      </w:r>
      <w:r w:rsidRPr="00485668">
        <w:rPr>
          <w:noProof/>
          <w:sz w:val="18"/>
          <w:szCs w:val="20"/>
        </w:rPr>
        <w:t>64023003</w:t>
      </w:r>
    </w:p>
    <w:p w14:paraId="74AEBE6C" w14:textId="77777777" w:rsidR="00155434" w:rsidRDefault="00155434" w:rsidP="00E76598">
      <w:pPr>
        <w:jc w:val="center"/>
        <w:rPr>
          <w:noProof/>
          <w:sz w:val="18"/>
          <w:szCs w:val="20"/>
        </w:rPr>
      </w:pPr>
    </w:p>
    <w:p w14:paraId="2ADD3EDA" w14:textId="7A13B3C0" w:rsidR="00155434" w:rsidRPr="00653897" w:rsidRDefault="00155434" w:rsidP="00E76598">
      <w:pPr>
        <w:jc w:val="center"/>
        <w:rPr>
          <w:b/>
          <w:noProof/>
        </w:rPr>
      </w:pPr>
      <w:bookmarkStart w:id="0" w:name="_GoBack"/>
      <w:bookmarkEnd w:id="0"/>
      <w:r w:rsidRPr="00653897">
        <w:rPr>
          <w:b/>
          <w:noProof/>
        </w:rPr>
        <w:t>IEKŠĒJIE NOTEIKUMI</w:t>
      </w:r>
    </w:p>
    <w:p w14:paraId="3C681B2D" w14:textId="77777777" w:rsidR="008A33D5" w:rsidRDefault="008A33D5" w:rsidP="00155434">
      <w:pPr>
        <w:rPr>
          <w:noProof/>
        </w:rPr>
      </w:pPr>
    </w:p>
    <w:p w14:paraId="4BA885FE" w14:textId="0D5E7089" w:rsidR="00155434" w:rsidRDefault="00155434" w:rsidP="00155434">
      <w:pPr>
        <w:rPr>
          <w:noProof/>
        </w:rPr>
      </w:pPr>
      <w:r>
        <w:rPr>
          <w:noProof/>
        </w:rPr>
        <w:t>2022.gada 24.martā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>Nr.</w:t>
      </w:r>
      <w:r w:rsidR="00A66C0A">
        <w:rPr>
          <w:noProof/>
        </w:rPr>
        <w:t>10</w:t>
      </w:r>
    </w:p>
    <w:p w14:paraId="314252D0" w14:textId="77777777" w:rsidR="00155434" w:rsidRDefault="00155434" w:rsidP="00155434">
      <w:pPr>
        <w:rPr>
          <w:noProof/>
        </w:rPr>
      </w:pPr>
    </w:p>
    <w:p w14:paraId="586FCAAE" w14:textId="76DA129D" w:rsidR="00155434" w:rsidRDefault="00155434" w:rsidP="00155434">
      <w:pPr>
        <w:jc w:val="right"/>
        <w:rPr>
          <w:b/>
        </w:rPr>
      </w:pPr>
      <w:r>
        <w:rPr>
          <w:b/>
        </w:rPr>
        <w:t>APSTIPRINĀTI</w:t>
      </w:r>
    </w:p>
    <w:p w14:paraId="608203D6" w14:textId="2126D358" w:rsidR="00155434" w:rsidRDefault="00653897" w:rsidP="00155434">
      <w:pPr>
        <w:jc w:val="right"/>
      </w:pPr>
      <w:r>
        <w:t>a</w:t>
      </w:r>
      <w:r w:rsidR="00155434">
        <w:t>r Limbažu novada domes</w:t>
      </w:r>
    </w:p>
    <w:p w14:paraId="5FF7F9D9" w14:textId="2FD15E41" w:rsidR="00155434" w:rsidRDefault="00155434" w:rsidP="00155434">
      <w:pPr>
        <w:jc w:val="right"/>
      </w:pPr>
      <w:r>
        <w:t>24.03.2022.</w:t>
      </w:r>
      <w:r w:rsidR="00653897">
        <w:t xml:space="preserve"> </w:t>
      </w:r>
      <w:r w:rsidR="00A66C0A">
        <w:t>sēdes lēmumu Nr.293</w:t>
      </w:r>
    </w:p>
    <w:p w14:paraId="7DF1805E" w14:textId="26674E5C" w:rsidR="00155434" w:rsidRDefault="00A66C0A" w:rsidP="00155434">
      <w:pPr>
        <w:jc w:val="right"/>
      </w:pPr>
      <w:r>
        <w:t>(protokols Nr.3, 62.</w:t>
      </w:r>
      <w:r w:rsidR="00155434">
        <w:t>)</w:t>
      </w:r>
    </w:p>
    <w:p w14:paraId="6F0EF2F5" w14:textId="77777777" w:rsidR="00155434" w:rsidRDefault="00155434" w:rsidP="00155434">
      <w:pPr>
        <w:jc w:val="right"/>
      </w:pPr>
    </w:p>
    <w:p w14:paraId="00E773C7" w14:textId="77777777" w:rsidR="008A33D5" w:rsidRDefault="008A33D5" w:rsidP="00155434">
      <w:pPr>
        <w:jc w:val="right"/>
      </w:pPr>
    </w:p>
    <w:p w14:paraId="0DEA0AED" w14:textId="6939BD8F" w:rsidR="00EA1E7F" w:rsidRPr="00653897" w:rsidRDefault="00155434" w:rsidP="003A4C65">
      <w:pPr>
        <w:jc w:val="center"/>
        <w:rPr>
          <w:b/>
          <w:sz w:val="28"/>
          <w:szCs w:val="28"/>
        </w:rPr>
      </w:pPr>
      <w:r w:rsidRPr="00653897">
        <w:rPr>
          <w:b/>
          <w:sz w:val="28"/>
          <w:szCs w:val="28"/>
        </w:rPr>
        <w:t xml:space="preserve">Noteikumi par </w:t>
      </w:r>
      <w:r w:rsidR="003A4C65" w:rsidRPr="00653897">
        <w:rPr>
          <w:b/>
          <w:sz w:val="28"/>
          <w:szCs w:val="28"/>
        </w:rPr>
        <w:t>nosacīto cenu un izsoles soļa noteikšanu</w:t>
      </w:r>
    </w:p>
    <w:p w14:paraId="34DFFD3A" w14:textId="77777777" w:rsidR="00155434" w:rsidRPr="00653897" w:rsidRDefault="00155434" w:rsidP="00155434">
      <w:pPr>
        <w:jc w:val="center"/>
        <w:rPr>
          <w:b/>
          <w:sz w:val="28"/>
          <w:szCs w:val="28"/>
        </w:rPr>
      </w:pPr>
      <w:r w:rsidRPr="00653897">
        <w:rPr>
          <w:b/>
          <w:sz w:val="28"/>
          <w:szCs w:val="28"/>
        </w:rPr>
        <w:t>Limbažu novada pašvaldībā</w:t>
      </w:r>
    </w:p>
    <w:p w14:paraId="47A454A5" w14:textId="77777777" w:rsidR="00155434" w:rsidRDefault="00155434" w:rsidP="00155434">
      <w:pPr>
        <w:jc w:val="center"/>
        <w:rPr>
          <w:b/>
        </w:rPr>
      </w:pPr>
    </w:p>
    <w:p w14:paraId="3207AAE8" w14:textId="040D4382" w:rsidR="00155434" w:rsidRPr="00653897" w:rsidRDefault="00155434" w:rsidP="00155434">
      <w:pPr>
        <w:jc w:val="right"/>
        <w:rPr>
          <w:i/>
          <w:sz w:val="22"/>
          <w:szCs w:val="22"/>
        </w:rPr>
      </w:pPr>
      <w:r w:rsidRPr="00653897">
        <w:rPr>
          <w:i/>
          <w:sz w:val="22"/>
          <w:szCs w:val="22"/>
        </w:rPr>
        <w:t>Izdoti</w:t>
      </w:r>
      <w:r w:rsidRPr="00653897">
        <w:rPr>
          <w:sz w:val="22"/>
          <w:szCs w:val="22"/>
        </w:rPr>
        <w:t xml:space="preserve"> </w:t>
      </w:r>
      <w:r w:rsidRPr="00653897">
        <w:rPr>
          <w:i/>
          <w:sz w:val="22"/>
          <w:szCs w:val="22"/>
        </w:rPr>
        <w:t>saskaņā ar Valsts pārvaldes  iekārtas likuma</w:t>
      </w:r>
    </w:p>
    <w:p w14:paraId="49AE1978" w14:textId="77777777" w:rsidR="00155434" w:rsidRPr="00653897" w:rsidRDefault="00155434" w:rsidP="00155434">
      <w:pPr>
        <w:jc w:val="right"/>
        <w:rPr>
          <w:i/>
          <w:sz w:val="22"/>
          <w:szCs w:val="22"/>
        </w:rPr>
      </w:pPr>
      <w:r w:rsidRPr="00653897">
        <w:rPr>
          <w:i/>
          <w:sz w:val="22"/>
          <w:szCs w:val="22"/>
        </w:rPr>
        <w:t>72.panta pirmās daļas 2.punktu, 73.panta pirmās daļas 4.punktu,</w:t>
      </w:r>
    </w:p>
    <w:p w14:paraId="18E3F375" w14:textId="77777777" w:rsidR="00155434" w:rsidRPr="00653897" w:rsidRDefault="00155434" w:rsidP="00155434">
      <w:pPr>
        <w:jc w:val="right"/>
        <w:rPr>
          <w:i/>
          <w:sz w:val="22"/>
          <w:szCs w:val="22"/>
        </w:rPr>
      </w:pPr>
      <w:r w:rsidRPr="00653897">
        <w:rPr>
          <w:i/>
          <w:sz w:val="22"/>
          <w:szCs w:val="22"/>
        </w:rPr>
        <w:t>Likuma “par pašvaldībām”  41.panta pirmās daļas 2.punktu</w:t>
      </w:r>
    </w:p>
    <w:p w14:paraId="18727944" w14:textId="77777777" w:rsidR="00155434" w:rsidRDefault="00155434" w:rsidP="00155434">
      <w:pPr>
        <w:jc w:val="right"/>
        <w:rPr>
          <w:i/>
          <w:sz w:val="20"/>
          <w:szCs w:val="20"/>
        </w:rPr>
      </w:pPr>
    </w:p>
    <w:p w14:paraId="6EF6AEB6" w14:textId="77777777" w:rsidR="00653897" w:rsidRDefault="00653897" w:rsidP="00155434">
      <w:pPr>
        <w:jc w:val="right"/>
        <w:rPr>
          <w:i/>
          <w:sz w:val="20"/>
          <w:szCs w:val="20"/>
        </w:rPr>
      </w:pPr>
    </w:p>
    <w:p w14:paraId="229D8CEB" w14:textId="1E6AC2E3" w:rsidR="00155434" w:rsidRPr="00622FCE" w:rsidRDefault="00155434" w:rsidP="00622FCE">
      <w:pPr>
        <w:pStyle w:val="Sarakstarindkopa"/>
        <w:numPr>
          <w:ilvl w:val="0"/>
          <w:numId w:val="5"/>
        </w:numPr>
        <w:jc w:val="center"/>
        <w:rPr>
          <w:b/>
        </w:rPr>
      </w:pPr>
      <w:r w:rsidRPr="00622FCE">
        <w:rPr>
          <w:b/>
        </w:rPr>
        <w:t>VISPĀRĪGIE NOTEIKUMI</w:t>
      </w:r>
    </w:p>
    <w:p w14:paraId="292473D0" w14:textId="6E070704" w:rsidR="00EA1E7F" w:rsidRDefault="00155434" w:rsidP="00622FCE">
      <w:pPr>
        <w:pStyle w:val="Sarakstarindkopa"/>
        <w:numPr>
          <w:ilvl w:val="0"/>
          <w:numId w:val="6"/>
        </w:numPr>
        <w:ind w:left="426" w:hanging="426"/>
        <w:jc w:val="both"/>
      </w:pPr>
      <w:r>
        <w:t xml:space="preserve">Noteikumi par </w:t>
      </w:r>
      <w:r w:rsidR="00666A7D">
        <w:t xml:space="preserve">nosacīto cenu un izsoles soļa noteikšanu </w:t>
      </w:r>
      <w:r>
        <w:t>ir Limbažu novada pašvaldības iekšējais normatīvais akts, kas nosaka</w:t>
      </w:r>
      <w:r w:rsidR="00BE075D">
        <w:t xml:space="preserve"> nosacījumus, kas</w:t>
      </w:r>
      <w:r>
        <w:t xml:space="preserve"> </w:t>
      </w:r>
      <w:r w:rsidR="00EA1E7F" w:rsidRPr="00BE075D">
        <w:t>jāievēro</w:t>
      </w:r>
      <w:r w:rsidRPr="00622FCE">
        <w:rPr>
          <w:b/>
        </w:rPr>
        <w:t xml:space="preserve"> </w:t>
      </w:r>
      <w:r w:rsidR="00BE075D">
        <w:t>Limbažu novada pašvaldības Pa</w:t>
      </w:r>
      <w:r w:rsidRPr="00155434">
        <w:t xml:space="preserve">švaldības īpašuma privatizācijas un atsavināšanas </w:t>
      </w:r>
      <w:r w:rsidRPr="00BE075D">
        <w:t>komisija</w:t>
      </w:r>
      <w:r w:rsidR="00BE075D" w:rsidRPr="00BE075D">
        <w:t>i</w:t>
      </w:r>
      <w:r w:rsidR="00BE075D">
        <w:t xml:space="preserve">, </w:t>
      </w:r>
      <w:r w:rsidR="00BE075D" w:rsidRPr="00BE075D">
        <w:t>gatavo</w:t>
      </w:r>
      <w:r w:rsidR="00BE075D">
        <w:t>jot izsoles</w:t>
      </w:r>
      <w:r w:rsidRPr="00622FCE">
        <w:rPr>
          <w:b/>
        </w:rPr>
        <w:t xml:space="preserve"> </w:t>
      </w:r>
      <w:r w:rsidR="00BE075D" w:rsidRPr="00BE075D">
        <w:t>noteikumus</w:t>
      </w:r>
      <w:r w:rsidR="00BE075D" w:rsidRPr="00622FCE">
        <w:rPr>
          <w:b/>
        </w:rPr>
        <w:t xml:space="preserve"> </w:t>
      </w:r>
      <w:r w:rsidR="00EA1E7F" w:rsidRPr="00EA1E7F">
        <w:t>pašvaldības</w:t>
      </w:r>
      <w:r w:rsidR="00EA1E7F" w:rsidRPr="00622FCE">
        <w:rPr>
          <w:b/>
        </w:rPr>
        <w:t xml:space="preserve"> </w:t>
      </w:r>
      <w:r w:rsidR="00BB3870" w:rsidRPr="00666A7D">
        <w:t>mantas</w:t>
      </w:r>
      <w:r w:rsidR="00BB3870">
        <w:t xml:space="preserve"> </w:t>
      </w:r>
      <w:r w:rsidR="00ED5FF0">
        <w:t xml:space="preserve">atsavināšanai </w:t>
      </w:r>
      <w:r w:rsidR="00EA1E7F" w:rsidRPr="00EA1E7F">
        <w:t xml:space="preserve">vai nomas </w:t>
      </w:r>
      <w:r w:rsidR="00EA1E7F" w:rsidRPr="00BC140D">
        <w:t>tiesību</w:t>
      </w:r>
      <w:r w:rsidR="00EA1E7F" w:rsidRPr="00622FCE">
        <w:rPr>
          <w:b/>
        </w:rPr>
        <w:t xml:space="preserve"> </w:t>
      </w:r>
      <w:r w:rsidR="00BE075D">
        <w:t>izsolēm, papildus Publiskas personas mantas atsavināšanas likumā</w:t>
      </w:r>
      <w:r w:rsidR="00BB3870">
        <w:t xml:space="preserve">, </w:t>
      </w:r>
      <w:r w:rsidR="00A66C0A" w:rsidRPr="00666A7D">
        <w:t xml:space="preserve">Ministru kabineta </w:t>
      </w:r>
      <w:r w:rsidR="00BB3870" w:rsidRPr="00666A7D">
        <w:t>2018.gada 20.februāra noteikumos Nr.97 “Publiskas personas mantas iznomāšanas noteikumi”</w:t>
      </w:r>
      <w:r w:rsidR="003D44AD" w:rsidRPr="00666A7D">
        <w:t xml:space="preserve"> </w:t>
      </w:r>
      <w:r w:rsidR="003D44AD">
        <w:t>un citos šo jomu regulējošos normatīvos aktos</w:t>
      </w:r>
      <w:r w:rsidR="00BE075D">
        <w:t>,</w:t>
      </w:r>
      <w:r w:rsidR="00622FCE">
        <w:t xml:space="preserve"> </w:t>
      </w:r>
      <w:r w:rsidR="00622FCE" w:rsidRPr="00666A7D">
        <w:t>kā arī</w:t>
      </w:r>
      <w:r w:rsidR="00BE075D" w:rsidRPr="00666A7D">
        <w:t xml:space="preserve"> </w:t>
      </w:r>
      <w:r w:rsidR="00BE075D">
        <w:t>Limbažu novada pašvaldības Pašvaldības īpašuma privatizācijas un atsavināšanas komisijas nolikumā</w:t>
      </w:r>
      <w:r w:rsidR="00ED5FF0">
        <w:t xml:space="preserve"> (turpmāk</w:t>
      </w:r>
      <w:r w:rsidR="00A97823">
        <w:t xml:space="preserve"> -</w:t>
      </w:r>
      <w:r w:rsidR="00ED5FF0">
        <w:t xml:space="preserve"> Nolikums)</w:t>
      </w:r>
      <w:r w:rsidR="00BE075D">
        <w:t xml:space="preserve"> </w:t>
      </w:r>
      <w:r w:rsidR="00EA1E7F">
        <w:t>noteiktajam.</w:t>
      </w:r>
    </w:p>
    <w:p w14:paraId="4A515862" w14:textId="77777777" w:rsidR="008A33D5" w:rsidRDefault="008A33D5" w:rsidP="00ED5FF0">
      <w:pPr>
        <w:ind w:left="360"/>
        <w:jc w:val="both"/>
      </w:pPr>
    </w:p>
    <w:p w14:paraId="0B9FA5AB" w14:textId="3E7302EF" w:rsidR="00EA1E7F" w:rsidRPr="00622FCE" w:rsidRDefault="00252D3E" w:rsidP="00622FCE">
      <w:pPr>
        <w:pStyle w:val="Sarakstarindkopa"/>
        <w:numPr>
          <w:ilvl w:val="0"/>
          <w:numId w:val="5"/>
        </w:numPr>
        <w:jc w:val="center"/>
        <w:rPr>
          <w:b/>
        </w:rPr>
      </w:pPr>
      <w:r w:rsidRPr="00622FCE">
        <w:rPr>
          <w:b/>
        </w:rPr>
        <w:t xml:space="preserve">ATSAVINĀMĀS MANTAS </w:t>
      </w:r>
      <w:r w:rsidR="00ED5FF0" w:rsidRPr="00622FCE">
        <w:rPr>
          <w:b/>
        </w:rPr>
        <w:t>NOSACĪTĀ CENA</w:t>
      </w:r>
      <w:r w:rsidRPr="00622FCE">
        <w:rPr>
          <w:b/>
        </w:rPr>
        <w:t xml:space="preserve"> (SĀKUMCENA)</w:t>
      </w:r>
    </w:p>
    <w:p w14:paraId="35A01929" w14:textId="433ED393" w:rsidR="00BB3870" w:rsidRDefault="00ED5FF0" w:rsidP="00BC140D">
      <w:pPr>
        <w:pStyle w:val="Sarakstarindkopa"/>
        <w:numPr>
          <w:ilvl w:val="0"/>
          <w:numId w:val="6"/>
        </w:numPr>
        <w:ind w:left="426" w:hanging="426"/>
        <w:jc w:val="both"/>
      </w:pPr>
      <w:r>
        <w:t>Nolikuma 2.3.2 punktā minētie</w:t>
      </w:r>
      <w:r w:rsidR="0009545F">
        <w:t xml:space="preserve">, </w:t>
      </w:r>
      <w:r w:rsidR="00252D3E">
        <w:t xml:space="preserve">atsavināmās mantas </w:t>
      </w:r>
      <w:r w:rsidR="0009545F">
        <w:t>nosacītās cenas sastāvā ietveramie</w:t>
      </w:r>
      <w:r>
        <w:t xml:space="preserve"> ar </w:t>
      </w:r>
      <w:r w:rsidR="00A97823" w:rsidRPr="00666A7D">
        <w:t>mantas</w:t>
      </w:r>
      <w:r>
        <w:t xml:space="preserve"> atsavināšanas procesa organizēšanu saistītie izdevumi</w:t>
      </w:r>
      <w:r w:rsidR="0009545F">
        <w:t xml:space="preserve"> </w:t>
      </w:r>
      <w:r w:rsidR="0030630F">
        <w:t>bez</w:t>
      </w:r>
      <w:r w:rsidR="00A97823">
        <w:t xml:space="preserve"> </w:t>
      </w:r>
      <w:r w:rsidR="00A97823" w:rsidRPr="00666A7D">
        <w:t>sertificēta vērtētāja</w:t>
      </w:r>
      <w:r w:rsidR="0030630F" w:rsidRPr="00666A7D">
        <w:t xml:space="preserve"> </w:t>
      </w:r>
      <w:r w:rsidR="0030630F">
        <w:t xml:space="preserve">novērtējumā norādītās summas </w:t>
      </w:r>
      <w:r w:rsidR="0009545F">
        <w:t xml:space="preserve">ietver izmaksas par </w:t>
      </w:r>
      <w:r w:rsidR="00A97823" w:rsidRPr="00666A7D">
        <w:t xml:space="preserve">šī </w:t>
      </w:r>
      <w:r w:rsidR="0009545F">
        <w:t>vērtējuma sagatavošanu</w:t>
      </w:r>
      <w:r w:rsidR="00A97823">
        <w:t xml:space="preserve"> </w:t>
      </w:r>
      <w:r w:rsidR="00A97823" w:rsidRPr="00666A7D">
        <w:t>un</w:t>
      </w:r>
      <w:r w:rsidR="0009545F">
        <w:t xml:space="preserve"> izm</w:t>
      </w:r>
      <w:r w:rsidR="0030630F">
        <w:t>aksas par sludinājuma publikāciju</w:t>
      </w:r>
      <w:r w:rsidR="00807A51">
        <w:t>, ja tādas ir radušās</w:t>
      </w:r>
      <w:r w:rsidR="00CE14F5">
        <w:t>.</w:t>
      </w:r>
    </w:p>
    <w:p w14:paraId="3F602B66" w14:textId="53C3D89B" w:rsidR="002548E8" w:rsidRDefault="00CE14F5" w:rsidP="00EA1E7F">
      <w:pPr>
        <w:pStyle w:val="Sarakstarindkopa"/>
        <w:numPr>
          <w:ilvl w:val="0"/>
          <w:numId w:val="6"/>
        </w:numPr>
        <w:ind w:left="426" w:hanging="426"/>
        <w:jc w:val="both"/>
      </w:pPr>
      <w:r>
        <w:t>Ja</w:t>
      </w:r>
      <w:r w:rsidR="00D867BA">
        <w:t xml:space="preserve"> </w:t>
      </w:r>
      <w:r w:rsidR="00D867BA" w:rsidRPr="00807A51">
        <w:t>nekustamā</w:t>
      </w:r>
      <w:r w:rsidR="003D44AD">
        <w:t xml:space="preserve"> </w:t>
      </w:r>
      <w:r w:rsidR="003D44AD" w:rsidRPr="00D867BA">
        <w:t>īpašuma</w:t>
      </w:r>
      <w:r w:rsidR="00D867BA">
        <w:t xml:space="preserve"> </w:t>
      </w:r>
      <w:r w:rsidR="003D44AD">
        <w:t>atsavināšanas process ir uzsākts pēc personas iesnieguma un bijuši nepieciešami Valsts zemes dienesta sniegtie pakalpojumi,</w:t>
      </w:r>
      <w:r w:rsidR="00D867BA">
        <w:t xml:space="preserve"> </w:t>
      </w:r>
      <w:r w:rsidR="00D867BA" w:rsidRPr="00807A51">
        <w:t>un</w:t>
      </w:r>
      <w:r w:rsidR="003D44AD" w:rsidRPr="00807A51">
        <w:t xml:space="preserve"> </w:t>
      </w:r>
      <w:r w:rsidR="00D867BA" w:rsidRPr="00807A51">
        <w:t xml:space="preserve">Limbažu novada pašvaldība </w:t>
      </w:r>
      <w:r w:rsidR="003D44AD">
        <w:t>ir vei</w:t>
      </w:r>
      <w:r w:rsidR="00D867BA">
        <w:t>kusi</w:t>
      </w:r>
      <w:r w:rsidR="003D44AD">
        <w:t xml:space="preserve"> maksājum</w:t>
      </w:r>
      <w:r w:rsidR="00D867BA">
        <w:t>us</w:t>
      </w:r>
      <w:r w:rsidR="003D44AD">
        <w:t xml:space="preserve"> par </w:t>
      </w:r>
      <w:r w:rsidR="002548E8" w:rsidRPr="00807A51">
        <w:t>šī nekustamā īpašuma uzmērīšanu un</w:t>
      </w:r>
      <w:r w:rsidR="003D44AD" w:rsidRPr="00807A51">
        <w:t xml:space="preserve"> </w:t>
      </w:r>
      <w:r w:rsidR="002548E8" w:rsidRPr="00807A51">
        <w:t xml:space="preserve">reģistrēšanu </w:t>
      </w:r>
      <w:r w:rsidR="008A33D5">
        <w:t>zemesgrāmat</w:t>
      </w:r>
      <w:r w:rsidR="002548E8">
        <w:t>ā</w:t>
      </w:r>
      <w:r w:rsidR="008A33D5">
        <w:t>,</w:t>
      </w:r>
      <w:r w:rsidR="003D44AD">
        <w:t xml:space="preserve"> </w:t>
      </w:r>
      <w:r>
        <w:t xml:space="preserve">tad </w:t>
      </w:r>
      <w:r w:rsidR="008A33D5">
        <w:t xml:space="preserve">šīs summas jāieskaita </w:t>
      </w:r>
      <w:r w:rsidRPr="002548E8">
        <w:t>nosacītajā cenā</w:t>
      </w:r>
      <w:r>
        <w:t>.</w:t>
      </w:r>
    </w:p>
    <w:p w14:paraId="422AE979" w14:textId="1B599943" w:rsidR="00794BCF" w:rsidRDefault="00E20BA9" w:rsidP="00EA1E7F">
      <w:pPr>
        <w:pStyle w:val="Sarakstarindkopa"/>
        <w:numPr>
          <w:ilvl w:val="0"/>
          <w:numId w:val="6"/>
        </w:numPr>
        <w:ind w:left="426" w:hanging="426"/>
        <w:jc w:val="both"/>
      </w:pPr>
      <w:r>
        <w:t>P</w:t>
      </w:r>
      <w:r w:rsidR="00252D3E">
        <w:t xml:space="preserve">ēc </w:t>
      </w:r>
      <w:r w:rsidR="002548E8">
        <w:t>2</w:t>
      </w:r>
      <w:r w:rsidR="00252D3E">
        <w:t xml:space="preserve">. un </w:t>
      </w:r>
      <w:r w:rsidR="002548E8">
        <w:t>3</w:t>
      </w:r>
      <w:r w:rsidR="00252D3E">
        <w:t xml:space="preserve">. punktos noteikto izmaksu </w:t>
      </w:r>
      <w:r w:rsidR="002548E8" w:rsidRPr="00807A51">
        <w:t>noskaidrošanas</w:t>
      </w:r>
      <w:r w:rsidR="00252D3E">
        <w:t>, iegūto summu noapaļo uz augšu</w:t>
      </w:r>
      <w:r>
        <w:t xml:space="preserve"> līdz veseliem simtiem,</w:t>
      </w:r>
      <w:r w:rsidR="00794BCF">
        <w:t xml:space="preserve"> kas  arī ir atsavināmās nekustamās vai kustamās m</w:t>
      </w:r>
      <w:r>
        <w:t>antas nosacītā cena (sākumcena).</w:t>
      </w:r>
    </w:p>
    <w:p w14:paraId="2DB87F32" w14:textId="77777777" w:rsidR="008A33D5" w:rsidRDefault="008A33D5" w:rsidP="00EA1E7F">
      <w:pPr>
        <w:jc w:val="both"/>
      </w:pPr>
    </w:p>
    <w:p w14:paraId="6DC46C39" w14:textId="345909BB" w:rsidR="0030630F" w:rsidRPr="002548E8" w:rsidRDefault="0030630F" w:rsidP="002548E8">
      <w:pPr>
        <w:pStyle w:val="Sarakstarindkopa"/>
        <w:numPr>
          <w:ilvl w:val="0"/>
          <w:numId w:val="5"/>
        </w:numPr>
        <w:jc w:val="center"/>
        <w:rPr>
          <w:b/>
        </w:rPr>
      </w:pPr>
      <w:r w:rsidRPr="002548E8">
        <w:rPr>
          <w:b/>
        </w:rPr>
        <w:t>DALĪBAS MAKSA</w:t>
      </w:r>
    </w:p>
    <w:p w14:paraId="3C262550" w14:textId="2331E273" w:rsidR="00D83315" w:rsidRDefault="0030630F" w:rsidP="00EA1E7F">
      <w:pPr>
        <w:pStyle w:val="Sarakstarindkopa"/>
        <w:numPr>
          <w:ilvl w:val="0"/>
          <w:numId w:val="6"/>
        </w:numPr>
        <w:ind w:left="426" w:hanging="426"/>
        <w:jc w:val="both"/>
      </w:pPr>
      <w:r>
        <w:t xml:space="preserve">Dalības maksa nomas </w:t>
      </w:r>
      <w:r w:rsidR="00BC140D" w:rsidRPr="00807A51">
        <w:t>objektu</w:t>
      </w:r>
      <w:r>
        <w:t xml:space="preserve"> izsolēs nosakāma 10,- EUR apmērā.</w:t>
      </w:r>
    </w:p>
    <w:p w14:paraId="2551FF8E" w14:textId="5FEA9907" w:rsidR="0030630F" w:rsidRDefault="0030630F" w:rsidP="00EA1E7F">
      <w:pPr>
        <w:pStyle w:val="Sarakstarindkopa"/>
        <w:numPr>
          <w:ilvl w:val="0"/>
          <w:numId w:val="6"/>
        </w:numPr>
        <w:ind w:left="426" w:hanging="426"/>
        <w:jc w:val="both"/>
      </w:pPr>
      <w:r>
        <w:t>Dalības maksa mantas izsolēs nosakāma 40,- EUR apmērā.</w:t>
      </w:r>
    </w:p>
    <w:p w14:paraId="2187F73B" w14:textId="77777777" w:rsidR="00D83315" w:rsidRDefault="00D83315" w:rsidP="00D83315">
      <w:pPr>
        <w:pStyle w:val="Sarakstarindkopa"/>
        <w:ind w:left="426"/>
        <w:jc w:val="both"/>
      </w:pPr>
    </w:p>
    <w:p w14:paraId="4D553AE1" w14:textId="7B7C86DA" w:rsidR="0030630F" w:rsidRPr="00D83315" w:rsidRDefault="0030630F" w:rsidP="00D83315">
      <w:pPr>
        <w:pStyle w:val="Sarakstarindkopa"/>
        <w:numPr>
          <w:ilvl w:val="0"/>
          <w:numId w:val="5"/>
        </w:numPr>
        <w:jc w:val="center"/>
        <w:rPr>
          <w:b/>
        </w:rPr>
      </w:pPr>
      <w:r w:rsidRPr="00D83315">
        <w:rPr>
          <w:b/>
        </w:rPr>
        <w:t>IZSOLES SOLIS</w:t>
      </w:r>
    </w:p>
    <w:p w14:paraId="51A7B6F3" w14:textId="08077D2D" w:rsidR="000F66DA" w:rsidRDefault="000F66DA" w:rsidP="000F66DA">
      <w:pPr>
        <w:pStyle w:val="Sarakstarindkopa"/>
        <w:numPr>
          <w:ilvl w:val="0"/>
          <w:numId w:val="6"/>
        </w:numPr>
        <w:ind w:left="426" w:hanging="426"/>
        <w:jc w:val="both"/>
      </w:pPr>
      <w:r>
        <w:t>Izsoles solis nosakāms atkarībā no nomas tiesību izsoles sākumcenas</w:t>
      </w:r>
    </w:p>
    <w:tbl>
      <w:tblPr>
        <w:tblStyle w:val="Reatabula"/>
        <w:tblW w:w="0" w:type="auto"/>
        <w:tblInd w:w="426" w:type="dxa"/>
        <w:tblLook w:val="04A0" w:firstRow="1" w:lastRow="0" w:firstColumn="1" w:lastColumn="0" w:noHBand="0" w:noVBand="1"/>
      </w:tblPr>
      <w:tblGrid>
        <w:gridCol w:w="576"/>
        <w:gridCol w:w="3955"/>
        <w:gridCol w:w="2126"/>
      </w:tblGrid>
      <w:tr w:rsidR="000F66DA" w14:paraId="78585FF5" w14:textId="77777777" w:rsidTr="00754338">
        <w:tc>
          <w:tcPr>
            <w:tcW w:w="576" w:type="dxa"/>
          </w:tcPr>
          <w:p w14:paraId="4DCE84E6" w14:textId="77777777" w:rsidR="000F66DA" w:rsidRDefault="000F66DA" w:rsidP="000F66DA">
            <w:pPr>
              <w:pStyle w:val="Sarakstarindkopa"/>
              <w:ind w:left="0"/>
              <w:jc w:val="both"/>
            </w:pPr>
          </w:p>
        </w:tc>
        <w:tc>
          <w:tcPr>
            <w:tcW w:w="3955" w:type="dxa"/>
          </w:tcPr>
          <w:p w14:paraId="06CD4F23" w14:textId="0B779D51" w:rsidR="000F66DA" w:rsidRDefault="000F66DA" w:rsidP="000F66DA">
            <w:pPr>
              <w:pStyle w:val="Sarakstarindkopa"/>
              <w:ind w:left="0"/>
              <w:jc w:val="both"/>
            </w:pPr>
            <w:r>
              <w:t>Sākumcena (eiro)</w:t>
            </w:r>
          </w:p>
        </w:tc>
        <w:tc>
          <w:tcPr>
            <w:tcW w:w="2126" w:type="dxa"/>
          </w:tcPr>
          <w:p w14:paraId="0D61B48E" w14:textId="16ECFBC0" w:rsidR="000F66DA" w:rsidRDefault="00754338" w:rsidP="000F66DA">
            <w:pPr>
              <w:pStyle w:val="Sarakstarindkopa"/>
              <w:ind w:left="0"/>
              <w:jc w:val="both"/>
            </w:pPr>
            <w:r>
              <w:t>Izsoles solis</w:t>
            </w:r>
            <w:r w:rsidR="000F66DA">
              <w:t xml:space="preserve"> (eiro)</w:t>
            </w:r>
          </w:p>
        </w:tc>
      </w:tr>
      <w:tr w:rsidR="00754338" w14:paraId="04D326EB" w14:textId="77777777" w:rsidTr="00754338">
        <w:tc>
          <w:tcPr>
            <w:tcW w:w="576" w:type="dxa"/>
          </w:tcPr>
          <w:p w14:paraId="716638EE" w14:textId="6CADEDD4" w:rsidR="00754338" w:rsidRDefault="00754338" w:rsidP="00754338">
            <w:pPr>
              <w:pStyle w:val="Sarakstarindkopa"/>
              <w:ind w:left="0"/>
              <w:jc w:val="both"/>
            </w:pPr>
            <w:r>
              <w:t>7.1.</w:t>
            </w:r>
          </w:p>
        </w:tc>
        <w:tc>
          <w:tcPr>
            <w:tcW w:w="3955" w:type="dxa"/>
          </w:tcPr>
          <w:p w14:paraId="79A2F745" w14:textId="2294AFC4" w:rsidR="00754338" w:rsidRDefault="00754338" w:rsidP="00754338">
            <w:pPr>
              <w:pStyle w:val="Sarakstarindkopa"/>
              <w:ind w:left="0"/>
              <w:jc w:val="both"/>
            </w:pPr>
            <w:r>
              <w:t>1,00 – 4,99</w:t>
            </w:r>
          </w:p>
        </w:tc>
        <w:tc>
          <w:tcPr>
            <w:tcW w:w="2126" w:type="dxa"/>
          </w:tcPr>
          <w:p w14:paraId="7BF51929" w14:textId="5FEE4DAD" w:rsidR="00754338" w:rsidRDefault="00754338" w:rsidP="00754338">
            <w:pPr>
              <w:pStyle w:val="Sarakstarindkopa"/>
              <w:ind w:left="0"/>
              <w:jc w:val="both"/>
            </w:pPr>
            <w:r>
              <w:t>0,10</w:t>
            </w:r>
          </w:p>
        </w:tc>
      </w:tr>
      <w:tr w:rsidR="00754338" w14:paraId="173BBDDA" w14:textId="77777777" w:rsidTr="00754338">
        <w:tc>
          <w:tcPr>
            <w:tcW w:w="576" w:type="dxa"/>
          </w:tcPr>
          <w:p w14:paraId="3388C3F0" w14:textId="0371B553" w:rsidR="00754338" w:rsidRDefault="00754338" w:rsidP="00754338">
            <w:pPr>
              <w:pStyle w:val="Sarakstarindkopa"/>
              <w:ind w:left="0"/>
              <w:jc w:val="both"/>
            </w:pPr>
            <w:r>
              <w:t>7.2.</w:t>
            </w:r>
          </w:p>
        </w:tc>
        <w:tc>
          <w:tcPr>
            <w:tcW w:w="3955" w:type="dxa"/>
          </w:tcPr>
          <w:p w14:paraId="20D19B5E" w14:textId="3772FA35" w:rsidR="00754338" w:rsidRDefault="00754338" w:rsidP="00754338">
            <w:pPr>
              <w:pStyle w:val="Sarakstarindkopa"/>
              <w:ind w:left="0"/>
              <w:jc w:val="both"/>
            </w:pPr>
            <w:r>
              <w:t>5,00 – 9,99</w:t>
            </w:r>
          </w:p>
        </w:tc>
        <w:tc>
          <w:tcPr>
            <w:tcW w:w="2126" w:type="dxa"/>
          </w:tcPr>
          <w:p w14:paraId="24421C13" w14:textId="639287D8" w:rsidR="00754338" w:rsidRDefault="00754338" w:rsidP="00754338">
            <w:pPr>
              <w:pStyle w:val="Sarakstarindkopa"/>
              <w:ind w:left="0"/>
              <w:jc w:val="both"/>
            </w:pPr>
            <w:r>
              <w:t>0,50</w:t>
            </w:r>
          </w:p>
        </w:tc>
      </w:tr>
      <w:tr w:rsidR="00754338" w14:paraId="57C246D3" w14:textId="77777777" w:rsidTr="00754338">
        <w:tc>
          <w:tcPr>
            <w:tcW w:w="576" w:type="dxa"/>
          </w:tcPr>
          <w:p w14:paraId="69EF0978" w14:textId="2A8D9B30" w:rsidR="00754338" w:rsidRDefault="00754338" w:rsidP="00754338">
            <w:pPr>
              <w:pStyle w:val="Sarakstarindkopa"/>
              <w:ind w:left="0"/>
              <w:jc w:val="both"/>
            </w:pPr>
            <w:r>
              <w:t>7.3.</w:t>
            </w:r>
          </w:p>
        </w:tc>
        <w:tc>
          <w:tcPr>
            <w:tcW w:w="3955" w:type="dxa"/>
          </w:tcPr>
          <w:p w14:paraId="124B200E" w14:textId="688F9CB7" w:rsidR="00754338" w:rsidRDefault="00754338" w:rsidP="00754338">
            <w:pPr>
              <w:pStyle w:val="Sarakstarindkopa"/>
              <w:ind w:left="0"/>
              <w:jc w:val="both"/>
            </w:pPr>
            <w:r>
              <w:t>10,00 – 49,99</w:t>
            </w:r>
          </w:p>
        </w:tc>
        <w:tc>
          <w:tcPr>
            <w:tcW w:w="2126" w:type="dxa"/>
          </w:tcPr>
          <w:p w14:paraId="67197C4B" w14:textId="4847D1B4" w:rsidR="00754338" w:rsidRDefault="00025773" w:rsidP="00754338">
            <w:pPr>
              <w:pStyle w:val="Sarakstarindkopa"/>
              <w:ind w:left="0"/>
              <w:jc w:val="both"/>
            </w:pPr>
            <w:r>
              <w:t>3</w:t>
            </w:r>
            <w:r w:rsidR="00754338">
              <w:t>,00</w:t>
            </w:r>
          </w:p>
        </w:tc>
      </w:tr>
      <w:tr w:rsidR="00754338" w14:paraId="396218AC" w14:textId="77777777" w:rsidTr="00754338">
        <w:tc>
          <w:tcPr>
            <w:tcW w:w="576" w:type="dxa"/>
          </w:tcPr>
          <w:p w14:paraId="5323F6FA" w14:textId="6085B14F" w:rsidR="00754338" w:rsidRDefault="00754338" w:rsidP="00754338">
            <w:pPr>
              <w:pStyle w:val="Sarakstarindkopa"/>
              <w:ind w:left="0"/>
              <w:jc w:val="both"/>
            </w:pPr>
            <w:r>
              <w:t>7.4.</w:t>
            </w:r>
          </w:p>
        </w:tc>
        <w:tc>
          <w:tcPr>
            <w:tcW w:w="3955" w:type="dxa"/>
          </w:tcPr>
          <w:p w14:paraId="25C6A4FF" w14:textId="34342FB1" w:rsidR="00754338" w:rsidRDefault="00754338" w:rsidP="00754338">
            <w:pPr>
              <w:pStyle w:val="Sarakstarindkopa"/>
              <w:ind w:left="0"/>
              <w:jc w:val="both"/>
            </w:pPr>
            <w:r>
              <w:t>50,00 – 99,99</w:t>
            </w:r>
          </w:p>
        </w:tc>
        <w:tc>
          <w:tcPr>
            <w:tcW w:w="2126" w:type="dxa"/>
          </w:tcPr>
          <w:p w14:paraId="50B48BC0" w14:textId="197AC77C" w:rsidR="00754338" w:rsidRDefault="00025773" w:rsidP="00754338">
            <w:pPr>
              <w:pStyle w:val="Sarakstarindkopa"/>
              <w:ind w:left="0"/>
              <w:jc w:val="both"/>
            </w:pPr>
            <w:r>
              <w:t>5</w:t>
            </w:r>
            <w:r w:rsidR="00754338">
              <w:t>,00</w:t>
            </w:r>
          </w:p>
        </w:tc>
      </w:tr>
      <w:tr w:rsidR="00754338" w14:paraId="2E7B92D3" w14:textId="77777777" w:rsidTr="00754338">
        <w:tc>
          <w:tcPr>
            <w:tcW w:w="576" w:type="dxa"/>
          </w:tcPr>
          <w:p w14:paraId="035942C0" w14:textId="2FAF9462" w:rsidR="00754338" w:rsidRDefault="00754338" w:rsidP="00754338">
            <w:pPr>
              <w:pStyle w:val="Sarakstarindkopa"/>
              <w:ind w:left="0"/>
              <w:jc w:val="both"/>
            </w:pPr>
            <w:r>
              <w:t>7.5.</w:t>
            </w:r>
          </w:p>
        </w:tc>
        <w:tc>
          <w:tcPr>
            <w:tcW w:w="3955" w:type="dxa"/>
          </w:tcPr>
          <w:p w14:paraId="12625F13" w14:textId="78BB562C" w:rsidR="00754338" w:rsidRDefault="00754338" w:rsidP="00754338">
            <w:pPr>
              <w:pStyle w:val="Sarakstarindkopa"/>
              <w:ind w:left="0"/>
              <w:jc w:val="both"/>
            </w:pPr>
            <w:r w:rsidRPr="003916F7">
              <w:t>100</w:t>
            </w:r>
            <w:r>
              <w:t>,00</w:t>
            </w:r>
            <w:r w:rsidRPr="003916F7">
              <w:t xml:space="preserve"> – 499,99</w:t>
            </w:r>
          </w:p>
        </w:tc>
        <w:tc>
          <w:tcPr>
            <w:tcW w:w="2126" w:type="dxa"/>
          </w:tcPr>
          <w:p w14:paraId="62E60C87" w14:textId="39D58979" w:rsidR="00754338" w:rsidRDefault="00025773" w:rsidP="00754338">
            <w:pPr>
              <w:pStyle w:val="Sarakstarindkopa"/>
              <w:ind w:left="0"/>
              <w:jc w:val="both"/>
            </w:pPr>
            <w:r>
              <w:t>20</w:t>
            </w:r>
            <w:r w:rsidR="00754338">
              <w:t>,00</w:t>
            </w:r>
          </w:p>
        </w:tc>
      </w:tr>
      <w:tr w:rsidR="00754338" w14:paraId="35637F5D" w14:textId="77777777" w:rsidTr="00754338">
        <w:tc>
          <w:tcPr>
            <w:tcW w:w="576" w:type="dxa"/>
          </w:tcPr>
          <w:p w14:paraId="55BC8530" w14:textId="19418F79" w:rsidR="00754338" w:rsidRDefault="00754338" w:rsidP="00754338">
            <w:pPr>
              <w:pStyle w:val="Sarakstarindkopa"/>
              <w:ind w:left="0"/>
              <w:jc w:val="both"/>
            </w:pPr>
            <w:r>
              <w:t>7.6.</w:t>
            </w:r>
          </w:p>
        </w:tc>
        <w:tc>
          <w:tcPr>
            <w:tcW w:w="3955" w:type="dxa"/>
          </w:tcPr>
          <w:p w14:paraId="3C4E68CA" w14:textId="7523499D" w:rsidR="00754338" w:rsidRDefault="00754338" w:rsidP="00754338">
            <w:pPr>
              <w:pStyle w:val="Sarakstarindkopa"/>
              <w:ind w:left="0"/>
              <w:jc w:val="both"/>
            </w:pPr>
            <w:r w:rsidRPr="003916F7">
              <w:t>500,00 – 999,99</w:t>
            </w:r>
          </w:p>
        </w:tc>
        <w:tc>
          <w:tcPr>
            <w:tcW w:w="2126" w:type="dxa"/>
          </w:tcPr>
          <w:p w14:paraId="2716EBDF" w14:textId="5323334D" w:rsidR="00754338" w:rsidRDefault="00025773" w:rsidP="00754338">
            <w:pPr>
              <w:pStyle w:val="Sarakstarindkopa"/>
              <w:ind w:left="0"/>
              <w:jc w:val="both"/>
            </w:pPr>
            <w:r>
              <w:t>4</w:t>
            </w:r>
            <w:r w:rsidR="00754338">
              <w:t>0,00</w:t>
            </w:r>
          </w:p>
        </w:tc>
      </w:tr>
      <w:tr w:rsidR="00754338" w14:paraId="09E014FA" w14:textId="77777777" w:rsidTr="00754338">
        <w:tc>
          <w:tcPr>
            <w:tcW w:w="576" w:type="dxa"/>
          </w:tcPr>
          <w:p w14:paraId="4519D2D9" w14:textId="71E6BC1B" w:rsidR="00754338" w:rsidRDefault="00754338" w:rsidP="00754338">
            <w:pPr>
              <w:pStyle w:val="Sarakstarindkopa"/>
              <w:ind w:left="0"/>
              <w:jc w:val="both"/>
            </w:pPr>
            <w:r>
              <w:t>7.7.</w:t>
            </w:r>
          </w:p>
        </w:tc>
        <w:tc>
          <w:tcPr>
            <w:tcW w:w="3955" w:type="dxa"/>
          </w:tcPr>
          <w:p w14:paraId="0ABAB44A" w14:textId="17E0CCBB" w:rsidR="00754338" w:rsidRDefault="00754338" w:rsidP="00754338">
            <w:pPr>
              <w:pStyle w:val="Sarakstarindkopa"/>
              <w:ind w:left="0"/>
              <w:jc w:val="both"/>
            </w:pPr>
            <w:r>
              <w:t>1000,00 – 4999,99</w:t>
            </w:r>
          </w:p>
        </w:tc>
        <w:tc>
          <w:tcPr>
            <w:tcW w:w="2126" w:type="dxa"/>
          </w:tcPr>
          <w:p w14:paraId="37A32C1D" w14:textId="39A57ADF" w:rsidR="00754338" w:rsidRDefault="00754338" w:rsidP="00754338">
            <w:pPr>
              <w:pStyle w:val="Sarakstarindkopa"/>
              <w:ind w:left="0"/>
              <w:jc w:val="both"/>
            </w:pPr>
            <w:r>
              <w:t>50,00</w:t>
            </w:r>
          </w:p>
        </w:tc>
      </w:tr>
      <w:tr w:rsidR="00754338" w14:paraId="1B99B45F" w14:textId="77777777" w:rsidTr="00754338">
        <w:tc>
          <w:tcPr>
            <w:tcW w:w="576" w:type="dxa"/>
          </w:tcPr>
          <w:p w14:paraId="4739A3F6" w14:textId="763C5E10" w:rsidR="00754338" w:rsidRDefault="00754338" w:rsidP="00754338">
            <w:pPr>
              <w:pStyle w:val="Sarakstarindkopa"/>
              <w:ind w:left="0"/>
              <w:jc w:val="both"/>
            </w:pPr>
            <w:r>
              <w:t>7.8.</w:t>
            </w:r>
          </w:p>
        </w:tc>
        <w:tc>
          <w:tcPr>
            <w:tcW w:w="3955" w:type="dxa"/>
          </w:tcPr>
          <w:p w14:paraId="0953DFE6" w14:textId="1955D4F8" w:rsidR="00754338" w:rsidRDefault="00754338" w:rsidP="00025773">
            <w:pPr>
              <w:pStyle w:val="Sarakstarindkopa"/>
              <w:ind w:left="0"/>
              <w:jc w:val="both"/>
            </w:pPr>
            <w:r>
              <w:t xml:space="preserve">5000,00 </w:t>
            </w:r>
            <w:r w:rsidR="00025773">
              <w:t>un vairāk</w:t>
            </w:r>
          </w:p>
        </w:tc>
        <w:tc>
          <w:tcPr>
            <w:tcW w:w="2126" w:type="dxa"/>
          </w:tcPr>
          <w:p w14:paraId="71C131A0" w14:textId="47181AAF" w:rsidR="00754338" w:rsidRDefault="00754338" w:rsidP="00754338">
            <w:pPr>
              <w:pStyle w:val="Sarakstarindkopa"/>
              <w:ind w:left="0"/>
              <w:jc w:val="both"/>
            </w:pPr>
            <w:r>
              <w:t>100,00</w:t>
            </w:r>
          </w:p>
        </w:tc>
      </w:tr>
    </w:tbl>
    <w:p w14:paraId="05C68B4D" w14:textId="77777777" w:rsidR="000F66DA" w:rsidRDefault="000F66DA" w:rsidP="008A5000">
      <w:pPr>
        <w:jc w:val="both"/>
      </w:pPr>
    </w:p>
    <w:p w14:paraId="3F8B85AC" w14:textId="62698956" w:rsidR="00794BCF" w:rsidRDefault="0030630F" w:rsidP="00EA1E7F">
      <w:pPr>
        <w:pStyle w:val="Sarakstarindkopa"/>
        <w:numPr>
          <w:ilvl w:val="0"/>
          <w:numId w:val="6"/>
        </w:numPr>
        <w:ind w:left="426" w:hanging="426"/>
        <w:jc w:val="both"/>
      </w:pPr>
      <w:r>
        <w:t xml:space="preserve">Izsoles solis nosakāms atkarībā no </w:t>
      </w:r>
      <w:r w:rsidR="003916F7">
        <w:t>mantas sākumcenas.</w:t>
      </w:r>
    </w:p>
    <w:tbl>
      <w:tblPr>
        <w:tblStyle w:val="Reatabula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3969"/>
        <w:gridCol w:w="2127"/>
      </w:tblGrid>
      <w:tr w:rsidR="00754338" w14:paraId="2DD66000" w14:textId="77777777" w:rsidTr="00754338">
        <w:tc>
          <w:tcPr>
            <w:tcW w:w="703" w:type="dxa"/>
          </w:tcPr>
          <w:p w14:paraId="11588DFF" w14:textId="77777777" w:rsidR="00754338" w:rsidRDefault="00754338" w:rsidP="00754338">
            <w:pPr>
              <w:pStyle w:val="Sarakstarindkopa"/>
              <w:ind w:left="0"/>
              <w:jc w:val="both"/>
            </w:pPr>
          </w:p>
        </w:tc>
        <w:tc>
          <w:tcPr>
            <w:tcW w:w="3969" w:type="dxa"/>
          </w:tcPr>
          <w:p w14:paraId="0D4C3B8B" w14:textId="05555A1C" w:rsidR="00754338" w:rsidRDefault="00754338" w:rsidP="00754338">
            <w:pPr>
              <w:pStyle w:val="Sarakstarindkopa"/>
              <w:ind w:left="0"/>
              <w:jc w:val="both"/>
            </w:pPr>
            <w:r>
              <w:t>Sākumcena (eiro)</w:t>
            </w:r>
          </w:p>
        </w:tc>
        <w:tc>
          <w:tcPr>
            <w:tcW w:w="2127" w:type="dxa"/>
          </w:tcPr>
          <w:p w14:paraId="4094F70C" w14:textId="472E5DBA" w:rsidR="00754338" w:rsidRDefault="00754338" w:rsidP="00754338">
            <w:pPr>
              <w:pStyle w:val="Sarakstarindkopa"/>
              <w:ind w:left="0"/>
              <w:jc w:val="both"/>
            </w:pPr>
            <w:r>
              <w:t>Izsoles solis (eiro)</w:t>
            </w:r>
          </w:p>
        </w:tc>
      </w:tr>
      <w:tr w:rsidR="00754338" w14:paraId="6B47B86E" w14:textId="77777777" w:rsidTr="00754338">
        <w:tc>
          <w:tcPr>
            <w:tcW w:w="703" w:type="dxa"/>
          </w:tcPr>
          <w:p w14:paraId="142DB545" w14:textId="008B6E3F" w:rsidR="00754338" w:rsidRDefault="007B2810" w:rsidP="00754338">
            <w:pPr>
              <w:pStyle w:val="Sarakstarindkopa"/>
              <w:ind w:left="0"/>
              <w:jc w:val="both"/>
            </w:pPr>
            <w:r>
              <w:t>8.1.</w:t>
            </w:r>
          </w:p>
        </w:tc>
        <w:tc>
          <w:tcPr>
            <w:tcW w:w="3969" w:type="dxa"/>
          </w:tcPr>
          <w:p w14:paraId="388FE6AB" w14:textId="1B1C04D3" w:rsidR="00754338" w:rsidRDefault="007B2810" w:rsidP="00754338">
            <w:pPr>
              <w:pStyle w:val="Sarakstarindkopa"/>
              <w:ind w:left="0"/>
              <w:jc w:val="both"/>
            </w:pPr>
            <w:r>
              <w:t>Līdz 1000,00</w:t>
            </w:r>
          </w:p>
        </w:tc>
        <w:tc>
          <w:tcPr>
            <w:tcW w:w="2127" w:type="dxa"/>
          </w:tcPr>
          <w:p w14:paraId="0390F65B" w14:textId="79227BC4" w:rsidR="00754338" w:rsidRDefault="00025773" w:rsidP="00754338">
            <w:pPr>
              <w:pStyle w:val="Sarakstarindkopa"/>
              <w:ind w:left="0"/>
              <w:jc w:val="both"/>
            </w:pPr>
            <w:r>
              <w:t>5</w:t>
            </w:r>
            <w:r w:rsidR="007B2810">
              <w:t>0,00</w:t>
            </w:r>
          </w:p>
        </w:tc>
      </w:tr>
      <w:tr w:rsidR="007B2810" w14:paraId="725A6483" w14:textId="77777777" w:rsidTr="00754338">
        <w:tc>
          <w:tcPr>
            <w:tcW w:w="703" w:type="dxa"/>
          </w:tcPr>
          <w:p w14:paraId="397B36B8" w14:textId="0D71D2CB" w:rsidR="007B2810" w:rsidRDefault="007B2810" w:rsidP="007B2810">
            <w:pPr>
              <w:pStyle w:val="Sarakstarindkopa"/>
              <w:ind w:left="0"/>
              <w:jc w:val="both"/>
            </w:pPr>
            <w:r>
              <w:t>8.2.</w:t>
            </w:r>
          </w:p>
        </w:tc>
        <w:tc>
          <w:tcPr>
            <w:tcW w:w="3969" w:type="dxa"/>
          </w:tcPr>
          <w:p w14:paraId="46EEF3E8" w14:textId="59C664C5" w:rsidR="007B2810" w:rsidRDefault="007B2810" w:rsidP="00840EA0">
            <w:pPr>
              <w:pStyle w:val="Sarakstarindkopa"/>
              <w:ind w:left="0"/>
              <w:jc w:val="both"/>
            </w:pPr>
            <w:r>
              <w:t>1000,00 – 99</w:t>
            </w:r>
            <w:r w:rsidR="00840EA0">
              <w:t>00,00</w:t>
            </w:r>
          </w:p>
        </w:tc>
        <w:tc>
          <w:tcPr>
            <w:tcW w:w="2127" w:type="dxa"/>
          </w:tcPr>
          <w:p w14:paraId="580FD48F" w14:textId="17999342" w:rsidR="007B2810" w:rsidRDefault="00025773" w:rsidP="007B2810">
            <w:pPr>
              <w:pStyle w:val="Sarakstarindkopa"/>
              <w:ind w:left="0"/>
              <w:jc w:val="both"/>
            </w:pPr>
            <w:r>
              <w:t>10</w:t>
            </w:r>
            <w:r w:rsidR="007B2810">
              <w:t>0,00</w:t>
            </w:r>
          </w:p>
        </w:tc>
      </w:tr>
      <w:tr w:rsidR="007B2810" w14:paraId="2A201488" w14:textId="77777777" w:rsidTr="00754338">
        <w:tc>
          <w:tcPr>
            <w:tcW w:w="703" w:type="dxa"/>
          </w:tcPr>
          <w:p w14:paraId="10CEEB61" w14:textId="49D95A1E" w:rsidR="007B2810" w:rsidRDefault="007B2810" w:rsidP="007B2810">
            <w:pPr>
              <w:pStyle w:val="Sarakstarindkopa"/>
              <w:ind w:left="0"/>
              <w:jc w:val="both"/>
            </w:pPr>
            <w:r>
              <w:t>8.3.</w:t>
            </w:r>
          </w:p>
        </w:tc>
        <w:tc>
          <w:tcPr>
            <w:tcW w:w="3969" w:type="dxa"/>
          </w:tcPr>
          <w:p w14:paraId="6D28B064" w14:textId="22FE9EEE" w:rsidR="007B2810" w:rsidRDefault="007B2810" w:rsidP="00840EA0">
            <w:pPr>
              <w:pStyle w:val="Sarakstarindkopa"/>
              <w:ind w:left="0"/>
              <w:jc w:val="both"/>
            </w:pPr>
            <w:r>
              <w:t>10 000,00 – 49 9</w:t>
            </w:r>
            <w:r w:rsidR="00840EA0">
              <w:t>00</w:t>
            </w:r>
            <w:r>
              <w:t>,</w:t>
            </w:r>
            <w:r w:rsidR="00840EA0">
              <w:t>00</w:t>
            </w:r>
          </w:p>
        </w:tc>
        <w:tc>
          <w:tcPr>
            <w:tcW w:w="2127" w:type="dxa"/>
          </w:tcPr>
          <w:p w14:paraId="4D03E975" w14:textId="64178B75" w:rsidR="007B2810" w:rsidRDefault="00025773" w:rsidP="007B2810">
            <w:pPr>
              <w:pStyle w:val="Sarakstarindkopa"/>
              <w:ind w:left="0"/>
              <w:jc w:val="both"/>
            </w:pPr>
            <w:r>
              <w:t>2</w:t>
            </w:r>
            <w:r w:rsidR="007B2810">
              <w:t>00,00</w:t>
            </w:r>
          </w:p>
        </w:tc>
      </w:tr>
      <w:tr w:rsidR="007B2810" w14:paraId="4D02C67C" w14:textId="77777777" w:rsidTr="00754338">
        <w:tc>
          <w:tcPr>
            <w:tcW w:w="703" w:type="dxa"/>
          </w:tcPr>
          <w:p w14:paraId="2BC075E1" w14:textId="007281DE" w:rsidR="007B2810" w:rsidRDefault="007B2810" w:rsidP="007B2810">
            <w:pPr>
              <w:pStyle w:val="Sarakstarindkopa"/>
              <w:ind w:left="0"/>
              <w:jc w:val="both"/>
            </w:pPr>
            <w:r>
              <w:t>8.4.</w:t>
            </w:r>
          </w:p>
        </w:tc>
        <w:tc>
          <w:tcPr>
            <w:tcW w:w="3969" w:type="dxa"/>
          </w:tcPr>
          <w:p w14:paraId="117715BA" w14:textId="365A8340" w:rsidR="007B2810" w:rsidRDefault="007B2810" w:rsidP="00025773">
            <w:pPr>
              <w:pStyle w:val="Sarakstarindkopa"/>
              <w:ind w:left="0"/>
              <w:jc w:val="both"/>
            </w:pPr>
            <w:r>
              <w:t xml:space="preserve">50 000,00  </w:t>
            </w:r>
            <w:r w:rsidR="00025773">
              <w:t>un vairāk</w:t>
            </w:r>
          </w:p>
        </w:tc>
        <w:tc>
          <w:tcPr>
            <w:tcW w:w="2127" w:type="dxa"/>
          </w:tcPr>
          <w:p w14:paraId="20894402" w14:textId="01FD0ED5" w:rsidR="007B2810" w:rsidRDefault="007B2810" w:rsidP="007B2810">
            <w:pPr>
              <w:pStyle w:val="Sarakstarindkopa"/>
              <w:ind w:left="0"/>
              <w:jc w:val="both"/>
            </w:pPr>
            <w:r>
              <w:t>500,00</w:t>
            </w:r>
          </w:p>
        </w:tc>
      </w:tr>
    </w:tbl>
    <w:p w14:paraId="4B6CD995" w14:textId="28689B31" w:rsidR="0030630F" w:rsidRPr="0030630F" w:rsidRDefault="0030630F" w:rsidP="00EA1E7F">
      <w:pPr>
        <w:jc w:val="both"/>
      </w:pPr>
      <w:r w:rsidRPr="0030630F">
        <w:t xml:space="preserve">  </w:t>
      </w:r>
    </w:p>
    <w:p w14:paraId="59D35D08" w14:textId="62C88C85" w:rsidR="00DE1FE9" w:rsidRPr="004952DE" w:rsidRDefault="00A66C0A" w:rsidP="004952DE">
      <w:pPr>
        <w:pStyle w:val="Sarakstarindkopa"/>
        <w:numPr>
          <w:ilvl w:val="0"/>
          <w:numId w:val="5"/>
        </w:numPr>
        <w:jc w:val="center"/>
        <w:rPr>
          <w:b/>
        </w:rPr>
      </w:pPr>
      <w:r>
        <w:rPr>
          <w:b/>
        </w:rPr>
        <w:t>NOSLĒGUMA JAUTĀJUMS</w:t>
      </w:r>
    </w:p>
    <w:p w14:paraId="69C734D4" w14:textId="06A4AD37" w:rsidR="00CE14F5" w:rsidRDefault="00DE1FE9" w:rsidP="004952DE">
      <w:pPr>
        <w:pStyle w:val="Sarakstarindkopa"/>
        <w:numPr>
          <w:ilvl w:val="0"/>
          <w:numId w:val="6"/>
        </w:numPr>
        <w:ind w:left="426" w:hanging="426"/>
        <w:jc w:val="both"/>
      </w:pPr>
      <w:r>
        <w:t xml:space="preserve">Noteikumi stājas spēkā </w:t>
      </w:r>
      <w:r w:rsidR="004952DE">
        <w:t>pēc</w:t>
      </w:r>
      <w:r w:rsidR="00A66C0A">
        <w:t xml:space="preserve"> to apstiprināšanas</w:t>
      </w:r>
      <w:r>
        <w:t xml:space="preserve"> </w:t>
      </w:r>
      <w:r w:rsidR="004952DE">
        <w:t xml:space="preserve">Limbažu novada </w:t>
      </w:r>
      <w:r>
        <w:t>domes sēdē.</w:t>
      </w:r>
      <w:r w:rsidR="00CE14F5">
        <w:t xml:space="preserve"> </w:t>
      </w:r>
    </w:p>
    <w:p w14:paraId="540B0B1D" w14:textId="77777777" w:rsidR="00DE1FE9" w:rsidRDefault="00DE1FE9" w:rsidP="00EA1E7F">
      <w:pPr>
        <w:jc w:val="both"/>
      </w:pPr>
    </w:p>
    <w:p w14:paraId="46B647ED" w14:textId="77777777" w:rsidR="00DE1FE9" w:rsidRDefault="00DE1FE9" w:rsidP="00EA1E7F">
      <w:pPr>
        <w:jc w:val="both"/>
      </w:pPr>
    </w:p>
    <w:p w14:paraId="59F23A9E" w14:textId="0E81C5F9" w:rsidR="00DE1FE9" w:rsidRDefault="00DE1FE9" w:rsidP="00EA1E7F">
      <w:pPr>
        <w:jc w:val="both"/>
      </w:pPr>
      <w:r>
        <w:t>Limbažu novada pašvaldības</w:t>
      </w:r>
    </w:p>
    <w:p w14:paraId="2EB91C5C" w14:textId="09B79352" w:rsidR="00DE1FE9" w:rsidRPr="00ED5FF0" w:rsidRDefault="00DE1FE9" w:rsidP="00EA1E7F">
      <w:pPr>
        <w:jc w:val="both"/>
      </w:pPr>
      <w:r>
        <w:t>D</w:t>
      </w:r>
      <w:r w:rsidR="009B400A">
        <w:t>omes priekšsēdētājs</w:t>
      </w:r>
      <w:r w:rsidR="009B400A">
        <w:tab/>
      </w:r>
      <w:r w:rsidR="009B400A">
        <w:tab/>
      </w:r>
      <w:r w:rsidR="009B400A">
        <w:tab/>
      </w:r>
      <w:r w:rsidR="009B400A">
        <w:tab/>
      </w:r>
      <w:r w:rsidR="009B400A">
        <w:tab/>
      </w:r>
      <w:r w:rsidR="009B400A">
        <w:tab/>
      </w:r>
      <w:r w:rsidR="009B400A">
        <w:tab/>
        <w:t>D.</w:t>
      </w:r>
      <w:r>
        <w:t xml:space="preserve"> Straubergs</w:t>
      </w:r>
    </w:p>
    <w:p w14:paraId="335AD900" w14:textId="3F439A1F" w:rsidR="00ED5FF0" w:rsidRPr="00ED5FF0" w:rsidRDefault="00ED5FF0" w:rsidP="00EA1E7F">
      <w:pPr>
        <w:jc w:val="both"/>
      </w:pPr>
      <w:r w:rsidRPr="00ED5FF0">
        <w:t xml:space="preserve">  </w:t>
      </w:r>
    </w:p>
    <w:p w14:paraId="65545D73" w14:textId="77777777" w:rsidR="00FC7D47" w:rsidRDefault="00FC7D47" w:rsidP="006C5375">
      <w:pPr>
        <w:pStyle w:val="Nosaukums"/>
        <w:rPr>
          <w:b w:val="0"/>
        </w:rPr>
      </w:pPr>
    </w:p>
    <w:p w14:paraId="7091DF83" w14:textId="1CDE7CDA" w:rsidR="00FC7D47" w:rsidRDefault="00FC7D47" w:rsidP="0074786F">
      <w:pPr>
        <w:tabs>
          <w:tab w:val="left" w:pos="490"/>
        </w:tabs>
        <w:rPr>
          <w:lang w:val="en-GB" w:eastAsia="en-US"/>
        </w:rPr>
        <w:sectPr w:rsidR="00FC7D47" w:rsidSect="00FC7D47">
          <w:head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0FED67C3" w14:textId="77777777" w:rsidR="00A66C0A" w:rsidRPr="00A66C0A" w:rsidRDefault="00A66C0A" w:rsidP="00A66C0A">
      <w:pPr>
        <w:jc w:val="both"/>
        <w:rPr>
          <w:rFonts w:eastAsia="Calibri"/>
          <w:b/>
          <w:sz w:val="18"/>
          <w:szCs w:val="18"/>
          <w:lang w:eastAsia="en-US"/>
        </w:rPr>
      </w:pPr>
      <w:r w:rsidRPr="00A66C0A">
        <w:rPr>
          <w:rFonts w:eastAsia="Calibri"/>
          <w:b/>
          <w:sz w:val="18"/>
          <w:szCs w:val="18"/>
          <w:lang w:eastAsia="en-US"/>
        </w:rPr>
        <w:t>ŠIS DOKUMENTS IR PARAKSTĪTS AR DROŠU ELEKTRONISKO PARAKSTU UN SATUR LAIKA ZĪMOGU</w:t>
      </w:r>
    </w:p>
    <w:p w14:paraId="2738A385" w14:textId="77777777" w:rsidR="00FC7D47" w:rsidRPr="0074786F" w:rsidRDefault="00FC7D47" w:rsidP="0074786F">
      <w:pPr>
        <w:tabs>
          <w:tab w:val="left" w:pos="490"/>
        </w:tabs>
        <w:rPr>
          <w:lang w:val="en-GB" w:eastAsia="en-US"/>
        </w:rPr>
      </w:pPr>
    </w:p>
    <w:sectPr w:rsidR="00FC7D47" w:rsidRPr="0074786F" w:rsidSect="00FC7D47"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DF368" w14:textId="77777777" w:rsidR="00B52EEF" w:rsidRDefault="00B52EEF" w:rsidP="00C432D4">
      <w:r>
        <w:separator/>
      </w:r>
    </w:p>
  </w:endnote>
  <w:endnote w:type="continuationSeparator" w:id="0">
    <w:p w14:paraId="1A757AD8" w14:textId="77777777" w:rsidR="00B52EEF" w:rsidRDefault="00B52EEF" w:rsidP="00C4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8B165" w14:textId="77777777" w:rsidR="00B52EEF" w:rsidRDefault="00B52EEF" w:rsidP="00C432D4">
      <w:r>
        <w:separator/>
      </w:r>
    </w:p>
  </w:footnote>
  <w:footnote w:type="continuationSeparator" w:id="0">
    <w:p w14:paraId="78608756" w14:textId="77777777" w:rsidR="00B52EEF" w:rsidRDefault="00B52EEF" w:rsidP="00C43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0931019"/>
      <w:docPartObj>
        <w:docPartGallery w:val="Page Numbers (Top of Page)"/>
        <w:docPartUnique/>
      </w:docPartObj>
    </w:sdtPr>
    <w:sdtContent>
      <w:p w14:paraId="3A4FC054" w14:textId="21F454A4" w:rsidR="00A66C0A" w:rsidRDefault="00A66C0A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3CB8C69" w14:textId="77777777" w:rsidR="00A66C0A" w:rsidRDefault="00A66C0A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39A17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35E8C"/>
    <w:multiLevelType w:val="hybridMultilevel"/>
    <w:tmpl w:val="FC1C7622"/>
    <w:lvl w:ilvl="0" w:tplc="D9DAF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85F3E"/>
    <w:multiLevelType w:val="hybridMultilevel"/>
    <w:tmpl w:val="1AA20DE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106D0"/>
    <w:multiLevelType w:val="hybridMultilevel"/>
    <w:tmpl w:val="CB0289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46928"/>
    <w:multiLevelType w:val="hybridMultilevel"/>
    <w:tmpl w:val="BA3AE3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A7A69"/>
    <w:multiLevelType w:val="hybridMultilevel"/>
    <w:tmpl w:val="5DF84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40"/>
    <w:rsid w:val="00025773"/>
    <w:rsid w:val="000661EA"/>
    <w:rsid w:val="00070CA9"/>
    <w:rsid w:val="0009545F"/>
    <w:rsid w:val="0009600B"/>
    <w:rsid w:val="000A73A8"/>
    <w:rsid w:val="000B7A18"/>
    <w:rsid w:val="000B7EF9"/>
    <w:rsid w:val="000F1262"/>
    <w:rsid w:val="000F66DA"/>
    <w:rsid w:val="00131843"/>
    <w:rsid w:val="00155434"/>
    <w:rsid w:val="001D5338"/>
    <w:rsid w:val="001F2CC9"/>
    <w:rsid w:val="001F3440"/>
    <w:rsid w:val="0020414D"/>
    <w:rsid w:val="00252D3E"/>
    <w:rsid w:val="002548E8"/>
    <w:rsid w:val="002562A0"/>
    <w:rsid w:val="002F6C12"/>
    <w:rsid w:val="0030630F"/>
    <w:rsid w:val="00314AB1"/>
    <w:rsid w:val="00351A80"/>
    <w:rsid w:val="003916F7"/>
    <w:rsid w:val="00397EAF"/>
    <w:rsid w:val="003A4C65"/>
    <w:rsid w:val="003C4981"/>
    <w:rsid w:val="003C6581"/>
    <w:rsid w:val="003D44AD"/>
    <w:rsid w:val="004952DE"/>
    <w:rsid w:val="004A6936"/>
    <w:rsid w:val="004B2C5C"/>
    <w:rsid w:val="004C063E"/>
    <w:rsid w:val="004C7390"/>
    <w:rsid w:val="004E556B"/>
    <w:rsid w:val="00533543"/>
    <w:rsid w:val="00574FA5"/>
    <w:rsid w:val="00577BEF"/>
    <w:rsid w:val="005B2342"/>
    <w:rsid w:val="00622FCE"/>
    <w:rsid w:val="00623885"/>
    <w:rsid w:val="006456B0"/>
    <w:rsid w:val="00653897"/>
    <w:rsid w:val="00666A7D"/>
    <w:rsid w:val="00671977"/>
    <w:rsid w:val="00690C91"/>
    <w:rsid w:val="00693F37"/>
    <w:rsid w:val="00696EC3"/>
    <w:rsid w:val="006B2306"/>
    <w:rsid w:val="006C5375"/>
    <w:rsid w:val="007468FD"/>
    <w:rsid w:val="0074786F"/>
    <w:rsid w:val="00754338"/>
    <w:rsid w:val="0077141B"/>
    <w:rsid w:val="00775F81"/>
    <w:rsid w:val="00794BCF"/>
    <w:rsid w:val="007B2810"/>
    <w:rsid w:val="007D7470"/>
    <w:rsid w:val="008043A2"/>
    <w:rsid w:val="0080445D"/>
    <w:rsid w:val="00807A51"/>
    <w:rsid w:val="0081004A"/>
    <w:rsid w:val="00840EA0"/>
    <w:rsid w:val="008455C2"/>
    <w:rsid w:val="008472D2"/>
    <w:rsid w:val="00881517"/>
    <w:rsid w:val="00881BBD"/>
    <w:rsid w:val="008A33D5"/>
    <w:rsid w:val="008A5000"/>
    <w:rsid w:val="008D001C"/>
    <w:rsid w:val="008E370D"/>
    <w:rsid w:val="00917630"/>
    <w:rsid w:val="0092739D"/>
    <w:rsid w:val="009A410D"/>
    <w:rsid w:val="009B400A"/>
    <w:rsid w:val="009F1443"/>
    <w:rsid w:val="00A33D5F"/>
    <w:rsid w:val="00A66C0A"/>
    <w:rsid w:val="00A75555"/>
    <w:rsid w:val="00A87F50"/>
    <w:rsid w:val="00A97823"/>
    <w:rsid w:val="00AE0F2A"/>
    <w:rsid w:val="00B351AE"/>
    <w:rsid w:val="00B376DF"/>
    <w:rsid w:val="00B52EEF"/>
    <w:rsid w:val="00B85327"/>
    <w:rsid w:val="00B93E02"/>
    <w:rsid w:val="00BB2EB3"/>
    <w:rsid w:val="00BB3870"/>
    <w:rsid w:val="00BC140D"/>
    <w:rsid w:val="00BD3726"/>
    <w:rsid w:val="00BE075D"/>
    <w:rsid w:val="00C0202B"/>
    <w:rsid w:val="00C31E1D"/>
    <w:rsid w:val="00C432D4"/>
    <w:rsid w:val="00CB0B02"/>
    <w:rsid w:val="00CE0CAA"/>
    <w:rsid w:val="00CE14F5"/>
    <w:rsid w:val="00D13EBB"/>
    <w:rsid w:val="00D76A53"/>
    <w:rsid w:val="00D83315"/>
    <w:rsid w:val="00D867BA"/>
    <w:rsid w:val="00D87258"/>
    <w:rsid w:val="00DA4145"/>
    <w:rsid w:val="00DB4D10"/>
    <w:rsid w:val="00DB5B97"/>
    <w:rsid w:val="00DE03F1"/>
    <w:rsid w:val="00DE105D"/>
    <w:rsid w:val="00DE1FE9"/>
    <w:rsid w:val="00E03D67"/>
    <w:rsid w:val="00E20BA9"/>
    <w:rsid w:val="00E55F2E"/>
    <w:rsid w:val="00E76598"/>
    <w:rsid w:val="00E7661A"/>
    <w:rsid w:val="00E9545D"/>
    <w:rsid w:val="00EA1E7F"/>
    <w:rsid w:val="00ED5FF0"/>
    <w:rsid w:val="00EE151A"/>
    <w:rsid w:val="00EF5284"/>
    <w:rsid w:val="00F6216D"/>
    <w:rsid w:val="00FC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F1DD0"/>
  <w15:docId w15:val="{9A64559A-184F-4C90-91F8-50ABB9F2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1F3440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1F3440"/>
    <w:pPr>
      <w:keepNext/>
      <w:jc w:val="center"/>
      <w:outlineLvl w:val="0"/>
    </w:pPr>
    <w:rPr>
      <w:b/>
      <w:bCs/>
      <w:sz w:val="28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1F3440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Nosaukums">
    <w:name w:val="Title"/>
    <w:basedOn w:val="Parasts"/>
    <w:link w:val="NosaukumsRakstz"/>
    <w:qFormat/>
    <w:rsid w:val="001F3440"/>
    <w:pPr>
      <w:jc w:val="center"/>
    </w:pPr>
    <w:rPr>
      <w:b/>
      <w:bCs/>
      <w:lang w:val="en-GB" w:eastAsia="en-US"/>
    </w:rPr>
  </w:style>
  <w:style w:type="character" w:customStyle="1" w:styleId="NosaukumsRakstz">
    <w:name w:val="Nosaukums Rakstz."/>
    <w:link w:val="Nosaukums"/>
    <w:rsid w:val="001F344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Galvene">
    <w:name w:val="header"/>
    <w:basedOn w:val="Parasts"/>
    <w:link w:val="GalveneRakstz"/>
    <w:uiPriority w:val="99"/>
    <w:unhideWhenUsed/>
    <w:rsid w:val="00C432D4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link w:val="Galvene"/>
    <w:uiPriority w:val="99"/>
    <w:rsid w:val="00C432D4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Kjene">
    <w:name w:val="footer"/>
    <w:basedOn w:val="Parasts"/>
    <w:link w:val="KjeneRakstz"/>
    <w:uiPriority w:val="99"/>
    <w:unhideWhenUsed/>
    <w:rsid w:val="00C432D4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rsid w:val="00C432D4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Parakstszemobjekta">
    <w:name w:val="caption"/>
    <w:basedOn w:val="Parasts"/>
    <w:next w:val="Parasts"/>
    <w:qFormat/>
    <w:rsid w:val="006C5375"/>
    <w:pPr>
      <w:pBdr>
        <w:bottom w:val="single" w:sz="12" w:space="1" w:color="auto"/>
      </w:pBdr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B0B0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B0B02"/>
    <w:rPr>
      <w:rFonts w:ascii="Tahoma" w:eastAsia="Times New Roman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155434"/>
    <w:pPr>
      <w:ind w:left="720"/>
      <w:contextualSpacing/>
    </w:pPr>
  </w:style>
  <w:style w:type="table" w:styleId="Reatabula">
    <w:name w:val="Table Grid"/>
    <w:basedOn w:val="Parastatabula"/>
    <w:uiPriority w:val="59"/>
    <w:rsid w:val="00391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D83315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D83315"/>
    <w:rPr>
      <w:rFonts w:ascii="Times New Roman" w:eastAsia="Times New Roman" w:hAnsi="Times New Roman"/>
    </w:rPr>
  </w:style>
  <w:style w:type="character" w:styleId="Beiguvresatsauce">
    <w:name w:val="endnote reference"/>
    <w:basedOn w:val="Noklusjumarindkopasfonts"/>
    <w:uiPriority w:val="99"/>
    <w:semiHidden/>
    <w:unhideWhenUsed/>
    <w:rsid w:val="00D833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F0D9C-76CC-4F4A-9B54-0FD88CBDA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1938</Words>
  <Characters>1105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Capital Inc</Company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Antra Kamala</dc:creator>
  <cp:lastModifiedBy>Dace Tauriņa</cp:lastModifiedBy>
  <cp:revision>8</cp:revision>
  <cp:lastPrinted>2022-01-04T14:14:00Z</cp:lastPrinted>
  <dcterms:created xsi:type="dcterms:W3CDTF">2022-03-10T14:26:00Z</dcterms:created>
  <dcterms:modified xsi:type="dcterms:W3CDTF">2022-03-29T12:01:00Z</dcterms:modified>
</cp:coreProperties>
</file>