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24D" w:rsidRDefault="0045224D" w:rsidP="0045224D">
      <w:pPr>
        <w:jc w:val="center"/>
        <w:rPr>
          <w:bCs/>
        </w:rPr>
      </w:pPr>
      <w:r>
        <w:rPr>
          <w:bCs/>
        </w:rPr>
        <w:t>Limbažos</w:t>
      </w:r>
    </w:p>
    <w:p w:rsidR="0045224D" w:rsidRPr="00DB1BED" w:rsidRDefault="0045224D" w:rsidP="0045224D">
      <w:pPr>
        <w:jc w:val="right"/>
        <w:rPr>
          <w:bCs/>
        </w:rPr>
      </w:pPr>
    </w:p>
    <w:p w:rsidR="0045224D" w:rsidRPr="00505FE9" w:rsidRDefault="0045224D" w:rsidP="0045224D">
      <w:pPr>
        <w:jc w:val="right"/>
      </w:pPr>
      <w:r w:rsidRPr="00505FE9">
        <w:rPr>
          <w:b/>
          <w:bCs/>
        </w:rPr>
        <w:t>APSTIPRINĀTS</w:t>
      </w:r>
      <w:r w:rsidRPr="00505FE9">
        <w:br/>
        <w:t>ar Limbažu novada domes</w:t>
      </w:r>
      <w:r w:rsidRPr="00505FE9">
        <w:br/>
      </w:r>
      <w:r>
        <w:t>27</w:t>
      </w:r>
      <w:r w:rsidRPr="00505FE9">
        <w:t>.09.2018. sēdes lēmumu</w:t>
      </w:r>
    </w:p>
    <w:p w:rsidR="0045224D" w:rsidRPr="00505FE9" w:rsidRDefault="0045224D" w:rsidP="0045224D">
      <w:pPr>
        <w:jc w:val="right"/>
      </w:pPr>
      <w:r w:rsidRPr="00505FE9">
        <w:t xml:space="preserve"> (protokols Nr.</w:t>
      </w:r>
      <w:r>
        <w:t>18, 32</w:t>
      </w:r>
      <w:r w:rsidRPr="00505FE9">
        <w:t>.§)</w:t>
      </w:r>
    </w:p>
    <w:p w:rsidR="00A777B6" w:rsidRPr="00A777B6" w:rsidRDefault="00A777B6" w:rsidP="00A777B6">
      <w:pPr>
        <w:ind w:left="3600" w:firstLine="720"/>
        <w:jc w:val="center"/>
        <w:rPr>
          <w:i/>
        </w:rPr>
      </w:pPr>
    </w:p>
    <w:p w:rsidR="00A777B6" w:rsidRPr="00A777B6" w:rsidRDefault="00A777B6" w:rsidP="00A777B6">
      <w:pPr>
        <w:ind w:left="3600" w:firstLine="720"/>
        <w:jc w:val="right"/>
        <w:rPr>
          <w:i/>
        </w:rPr>
      </w:pPr>
      <w:r w:rsidRPr="00A777B6">
        <w:rPr>
          <w:i/>
        </w:rPr>
        <w:t xml:space="preserve">GROZĪJUMI izdarīti ar </w:t>
      </w:r>
    </w:p>
    <w:p w:rsidR="00A777B6" w:rsidRPr="00A777B6" w:rsidRDefault="00A777B6" w:rsidP="00A777B6">
      <w:pPr>
        <w:jc w:val="right"/>
        <w:rPr>
          <w:i/>
        </w:rPr>
      </w:pPr>
      <w:r w:rsidRPr="00A777B6">
        <w:rPr>
          <w:i/>
          <w:iCs/>
        </w:rPr>
        <w:t xml:space="preserve">Limbažu novada domes </w:t>
      </w:r>
      <w:r w:rsidR="0045224D">
        <w:rPr>
          <w:i/>
          <w:iCs/>
        </w:rPr>
        <w:t>23</w:t>
      </w:r>
      <w:r w:rsidRPr="00A777B6">
        <w:rPr>
          <w:i/>
          <w:iCs/>
        </w:rPr>
        <w:t>.09.2021. sēdes lēmumu Nr.</w:t>
      </w:r>
      <w:r w:rsidR="0045224D">
        <w:rPr>
          <w:i/>
          <w:iCs/>
        </w:rPr>
        <w:t>273</w:t>
      </w:r>
      <w:r w:rsidRPr="00A777B6">
        <w:rPr>
          <w:i/>
          <w:iCs/>
        </w:rPr>
        <w:t xml:space="preserve"> (protokols Nr.</w:t>
      </w:r>
      <w:r w:rsidR="0045224D">
        <w:rPr>
          <w:i/>
          <w:iCs/>
        </w:rPr>
        <w:t>6</w:t>
      </w:r>
      <w:r w:rsidRPr="00A777B6">
        <w:rPr>
          <w:i/>
          <w:iCs/>
        </w:rPr>
        <w:t>,</w:t>
      </w:r>
      <w:r w:rsidR="0045224D">
        <w:rPr>
          <w:i/>
          <w:iCs/>
        </w:rPr>
        <w:t xml:space="preserve"> 38.§</w:t>
      </w:r>
      <w:bookmarkStart w:id="0" w:name="_GoBack"/>
      <w:bookmarkEnd w:id="0"/>
      <w:r w:rsidRPr="00A777B6">
        <w:rPr>
          <w:i/>
          <w:iCs/>
        </w:rPr>
        <w:t>)</w:t>
      </w:r>
    </w:p>
    <w:p w:rsidR="00A777B6" w:rsidRPr="00A777B6" w:rsidRDefault="00A777B6" w:rsidP="00A777B6">
      <w:pPr>
        <w:jc w:val="center"/>
        <w:rPr>
          <w:bCs/>
        </w:rPr>
      </w:pPr>
    </w:p>
    <w:p w:rsidR="00A777B6" w:rsidRPr="00A777B6" w:rsidRDefault="00A777B6" w:rsidP="00A777B6">
      <w:pPr>
        <w:jc w:val="center"/>
        <w:rPr>
          <w:b/>
          <w:bCs/>
        </w:rPr>
      </w:pPr>
      <w:r w:rsidRPr="00A777B6">
        <w:rPr>
          <w:b/>
          <w:bCs/>
        </w:rPr>
        <w:t xml:space="preserve">APBALVOJUMU KOMISIJAS </w:t>
      </w:r>
    </w:p>
    <w:p w:rsidR="00A777B6" w:rsidRPr="00A777B6" w:rsidRDefault="00A777B6" w:rsidP="00A777B6">
      <w:pPr>
        <w:jc w:val="center"/>
        <w:rPr>
          <w:b/>
          <w:bCs/>
        </w:rPr>
      </w:pPr>
      <w:r w:rsidRPr="00A777B6">
        <w:rPr>
          <w:b/>
          <w:bCs/>
        </w:rPr>
        <w:t>NOLIKUMS</w:t>
      </w:r>
    </w:p>
    <w:p w:rsidR="00A777B6" w:rsidRPr="00A777B6" w:rsidRDefault="00A777B6" w:rsidP="00A777B6">
      <w:pPr>
        <w:jc w:val="right"/>
        <w:rPr>
          <w:i/>
          <w:iCs/>
          <w:sz w:val="22"/>
          <w:szCs w:val="22"/>
        </w:rPr>
      </w:pPr>
      <w:r w:rsidRPr="00A777B6">
        <w:rPr>
          <w:i/>
          <w:iCs/>
          <w:sz w:val="22"/>
          <w:szCs w:val="22"/>
        </w:rPr>
        <w:t xml:space="preserve">Izdots saskaņā </w:t>
      </w:r>
    </w:p>
    <w:p w:rsidR="00A777B6" w:rsidRPr="00A777B6" w:rsidRDefault="00A777B6" w:rsidP="00A777B6">
      <w:pPr>
        <w:jc w:val="right"/>
        <w:rPr>
          <w:i/>
          <w:iCs/>
          <w:sz w:val="22"/>
          <w:szCs w:val="22"/>
        </w:rPr>
      </w:pPr>
      <w:r w:rsidRPr="00A777B6">
        <w:rPr>
          <w:i/>
          <w:iCs/>
          <w:sz w:val="22"/>
          <w:szCs w:val="22"/>
        </w:rPr>
        <w:t>ar likuma „Par pašvaldībām” 61.pantu</w:t>
      </w:r>
    </w:p>
    <w:p w:rsidR="00A777B6" w:rsidRPr="00A777B6" w:rsidRDefault="00A777B6" w:rsidP="00A777B6">
      <w:pPr>
        <w:rPr>
          <w:bCs/>
        </w:rPr>
      </w:pPr>
    </w:p>
    <w:p w:rsidR="00A777B6" w:rsidRPr="00A777B6" w:rsidRDefault="00A777B6" w:rsidP="00A777B6">
      <w:pPr>
        <w:numPr>
          <w:ilvl w:val="0"/>
          <w:numId w:val="3"/>
        </w:numPr>
        <w:contextualSpacing/>
        <w:jc w:val="center"/>
        <w:rPr>
          <w:rFonts w:eastAsia="Calibri"/>
          <w:b/>
          <w:bCs/>
          <w:noProof/>
          <w:lang w:eastAsia="en-US"/>
        </w:rPr>
      </w:pPr>
      <w:r w:rsidRPr="00A777B6">
        <w:rPr>
          <w:rFonts w:eastAsia="Calibri"/>
          <w:b/>
          <w:bCs/>
          <w:noProof/>
          <w:lang w:eastAsia="en-US"/>
        </w:rPr>
        <w:t>Vispārīgie jautājumi</w:t>
      </w:r>
    </w:p>
    <w:p w:rsidR="00A777B6" w:rsidRPr="00A777B6" w:rsidRDefault="00A777B6" w:rsidP="00A777B6"/>
    <w:p w:rsidR="00A777B6" w:rsidRPr="0045224D" w:rsidRDefault="0045224D" w:rsidP="00A777B6">
      <w:pPr>
        <w:numPr>
          <w:ilvl w:val="1"/>
          <w:numId w:val="3"/>
        </w:numPr>
        <w:tabs>
          <w:tab w:val="left" w:pos="567"/>
        </w:tabs>
        <w:ind w:left="567" w:hanging="567"/>
        <w:contextualSpacing/>
        <w:jc w:val="both"/>
        <w:rPr>
          <w:rFonts w:eastAsia="Calibri"/>
          <w:noProof/>
          <w:lang w:eastAsia="en-US"/>
        </w:rPr>
      </w:pPr>
      <w:r w:rsidRPr="0045224D">
        <w:t>Limbažu novada pašvaldības (turpmāk – Pašvaldība) Apbalvojumu komisija (turpmāk – Komisija) izskata motivētus iesniegumus par Pašvaldības balvas „GODA NOVADNIEKS”, „GADA CILVĒKS” un ATZINĪBAS RAKSTA piešķiršanu, kas ietver Limbažu pilsētas, Limbažu pagasta, Vidrižu pagasta, Skultes pagasta, Umurgas pagasta, Katvaru pagasta, Pāles pagasta, Viļķenes pagasta teritoriju, un sagatavo priekšlikumus par šo apbalvojumu piešķiršanu un iesniedz tos apstiprināšanai Limbažu novada domei (turpmāk – Dome</w:t>
      </w:r>
      <w:r w:rsidR="00A777B6" w:rsidRPr="0045224D">
        <w:rPr>
          <w:rFonts w:eastAsia="Calibri"/>
          <w:noProof/>
          <w:lang w:eastAsia="en-US"/>
        </w:rPr>
        <w:t xml:space="preserve">). </w:t>
      </w:r>
    </w:p>
    <w:p w:rsidR="00A777B6" w:rsidRPr="00A777B6" w:rsidRDefault="00A777B6" w:rsidP="00A777B6">
      <w:pPr>
        <w:jc w:val="both"/>
      </w:pPr>
      <w:bookmarkStart w:id="1" w:name="_Hlk79413690"/>
      <w:r w:rsidRPr="00A777B6">
        <w:rPr>
          <w:i/>
          <w:iCs/>
        </w:rPr>
        <w:t>(</w:t>
      </w:r>
      <w:r w:rsidR="0045224D">
        <w:rPr>
          <w:i/>
          <w:iCs/>
        </w:rPr>
        <w:t>g</w:t>
      </w:r>
      <w:r w:rsidRPr="00A777B6">
        <w:rPr>
          <w:i/>
          <w:iCs/>
        </w:rPr>
        <w:t xml:space="preserve">rozījumi izdarīti ar Limbažu novada domes </w:t>
      </w:r>
      <w:r w:rsidR="0045224D">
        <w:rPr>
          <w:i/>
          <w:iCs/>
        </w:rPr>
        <w:t>23</w:t>
      </w:r>
      <w:r w:rsidRPr="00A777B6">
        <w:rPr>
          <w:i/>
          <w:iCs/>
        </w:rPr>
        <w:t>.09.2021. sēdes lēmumu Nr.</w:t>
      </w:r>
      <w:r w:rsidR="0045224D">
        <w:rPr>
          <w:i/>
          <w:iCs/>
        </w:rPr>
        <w:t xml:space="preserve">273 </w:t>
      </w:r>
      <w:r w:rsidRPr="00A777B6">
        <w:rPr>
          <w:i/>
          <w:iCs/>
        </w:rPr>
        <w:t>(protokols Nr</w:t>
      </w:r>
      <w:r w:rsidR="0045224D">
        <w:rPr>
          <w:i/>
          <w:iCs/>
        </w:rPr>
        <w:t>.6</w:t>
      </w:r>
      <w:r w:rsidRPr="00A777B6">
        <w:rPr>
          <w:i/>
          <w:iCs/>
        </w:rPr>
        <w:t xml:space="preserve">, </w:t>
      </w:r>
      <w:r w:rsidR="0045224D">
        <w:rPr>
          <w:i/>
          <w:iCs/>
        </w:rPr>
        <w:t>38.§</w:t>
      </w:r>
      <w:r w:rsidRPr="00A777B6">
        <w:rPr>
          <w:i/>
          <w:iCs/>
        </w:rPr>
        <w:t>)</w:t>
      </w:r>
      <w:r w:rsidR="0045224D">
        <w:rPr>
          <w:i/>
          <w:iCs/>
        </w:rPr>
        <w:t>)</w:t>
      </w:r>
    </w:p>
    <w:bookmarkEnd w:id="1"/>
    <w:p w:rsidR="00A777B6" w:rsidRPr="00A777B6" w:rsidRDefault="00A777B6" w:rsidP="00A777B6">
      <w:pPr>
        <w:numPr>
          <w:ilvl w:val="1"/>
          <w:numId w:val="3"/>
        </w:numPr>
        <w:tabs>
          <w:tab w:val="left" w:pos="567"/>
        </w:tabs>
        <w:ind w:left="567" w:hanging="567"/>
        <w:contextualSpacing/>
        <w:jc w:val="both"/>
        <w:rPr>
          <w:rFonts w:eastAsia="Calibri"/>
          <w:bCs/>
          <w:noProof/>
          <w:lang w:eastAsia="en-US"/>
        </w:rPr>
      </w:pPr>
      <w:r w:rsidRPr="00A777B6">
        <w:rPr>
          <w:rFonts w:eastAsia="Calibri"/>
          <w:noProof/>
          <w:lang w:eastAsia="en-US"/>
        </w:rPr>
        <w:t xml:space="preserve">Komisija darbojas saskaņā ar nolikumu </w:t>
      </w:r>
      <w:r w:rsidRPr="00A777B6">
        <w:rPr>
          <w:rFonts w:eastAsia="Calibri"/>
          <w:bCs/>
          <w:noProof/>
          <w:lang w:eastAsia="en-US"/>
        </w:rPr>
        <w:t>„Par Limbažu novada pašvaldības apbalvojumiem un to piešķiršanas kārtību”.</w:t>
      </w:r>
    </w:p>
    <w:p w:rsidR="00A777B6" w:rsidRPr="00A777B6" w:rsidRDefault="00A777B6" w:rsidP="00A777B6">
      <w:pPr>
        <w:numPr>
          <w:ilvl w:val="1"/>
          <w:numId w:val="3"/>
        </w:numPr>
        <w:tabs>
          <w:tab w:val="left" w:pos="567"/>
        </w:tabs>
        <w:ind w:left="567" w:hanging="567"/>
        <w:contextualSpacing/>
        <w:jc w:val="both"/>
        <w:rPr>
          <w:rFonts w:eastAsia="Calibri"/>
          <w:noProof/>
          <w:lang w:eastAsia="en-US"/>
        </w:rPr>
      </w:pPr>
      <w:r w:rsidRPr="00A777B6">
        <w:rPr>
          <w:rFonts w:eastAsia="Calibri"/>
          <w:noProof/>
          <w:lang w:eastAsia="en-US"/>
        </w:rPr>
        <w:t>Komisiju 7</w:t>
      </w:r>
      <w:r w:rsidRPr="00A777B6">
        <w:rPr>
          <w:rFonts w:eastAsia="Calibri"/>
          <w:noProof/>
          <w:color w:val="FF0000"/>
          <w:lang w:eastAsia="en-US"/>
        </w:rPr>
        <w:t xml:space="preserve"> </w:t>
      </w:r>
      <w:r w:rsidRPr="00A777B6">
        <w:rPr>
          <w:rFonts w:eastAsia="Calibri"/>
          <w:noProof/>
          <w:lang w:eastAsia="en-US"/>
        </w:rPr>
        <w:t>(septiņu) personu sastāvā apstiprina ar Domes lēmumu.</w:t>
      </w:r>
    </w:p>
    <w:p w:rsidR="00A777B6" w:rsidRPr="00A777B6" w:rsidRDefault="00A777B6" w:rsidP="00A777B6">
      <w:pPr>
        <w:numPr>
          <w:ilvl w:val="1"/>
          <w:numId w:val="3"/>
        </w:numPr>
        <w:tabs>
          <w:tab w:val="left" w:pos="567"/>
        </w:tabs>
        <w:ind w:left="567" w:hanging="567"/>
        <w:contextualSpacing/>
        <w:jc w:val="both"/>
        <w:rPr>
          <w:rFonts w:eastAsia="Calibri"/>
          <w:noProof/>
          <w:lang w:eastAsia="en-US"/>
        </w:rPr>
      </w:pPr>
      <w:r w:rsidRPr="00A777B6">
        <w:rPr>
          <w:rFonts w:eastAsia="Calibri"/>
          <w:noProof/>
          <w:lang w:eastAsia="en-US"/>
        </w:rPr>
        <w:t>Komisijas locekļi nav uzskatāmi par valsts amatpersonām likuma „Par interešu konflikta novēršanu valsts amatpersonu darbībā” izpratnē.</w:t>
      </w:r>
    </w:p>
    <w:p w:rsidR="00A777B6" w:rsidRPr="00A777B6" w:rsidRDefault="00A777B6" w:rsidP="00A777B6">
      <w:pPr>
        <w:numPr>
          <w:ilvl w:val="1"/>
          <w:numId w:val="3"/>
        </w:numPr>
        <w:tabs>
          <w:tab w:val="left" w:pos="567"/>
        </w:tabs>
        <w:ind w:left="567" w:hanging="567"/>
        <w:contextualSpacing/>
        <w:jc w:val="both"/>
        <w:rPr>
          <w:rFonts w:eastAsia="Calibri"/>
          <w:noProof/>
          <w:lang w:eastAsia="en-US"/>
        </w:rPr>
      </w:pPr>
      <w:r w:rsidRPr="00A777B6">
        <w:rPr>
          <w:rFonts w:eastAsia="Calibri"/>
          <w:noProof/>
          <w:lang w:eastAsia="en-US"/>
        </w:rPr>
        <w:t>Komisijas darbu tehniski nodrošina Pašvaldības Administratīvās nodaļas darbinieki.</w:t>
      </w:r>
    </w:p>
    <w:p w:rsidR="00A777B6" w:rsidRPr="00A777B6" w:rsidRDefault="00A777B6" w:rsidP="00A777B6">
      <w:pPr>
        <w:jc w:val="both"/>
      </w:pPr>
    </w:p>
    <w:p w:rsidR="00A777B6" w:rsidRPr="00A777B6" w:rsidRDefault="00A777B6" w:rsidP="00A777B6">
      <w:pPr>
        <w:numPr>
          <w:ilvl w:val="0"/>
          <w:numId w:val="3"/>
        </w:numPr>
        <w:contextualSpacing/>
        <w:jc w:val="center"/>
        <w:rPr>
          <w:rFonts w:eastAsia="Calibri"/>
          <w:b/>
          <w:bCs/>
          <w:noProof/>
          <w:lang w:eastAsia="en-US"/>
        </w:rPr>
      </w:pPr>
      <w:r w:rsidRPr="00A777B6">
        <w:rPr>
          <w:rFonts w:eastAsia="Calibri"/>
          <w:b/>
          <w:bCs/>
          <w:noProof/>
          <w:lang w:eastAsia="en-US"/>
        </w:rPr>
        <w:t>Kārtība, kādā Apbalvojumu komisija izskata iesniegtos priekšlikumus</w:t>
      </w:r>
    </w:p>
    <w:p w:rsidR="00A777B6" w:rsidRPr="00A777B6" w:rsidRDefault="00A777B6" w:rsidP="00A777B6"/>
    <w:p w:rsidR="00A777B6" w:rsidRPr="00A777B6" w:rsidRDefault="00A777B6" w:rsidP="00A777B6">
      <w:pPr>
        <w:numPr>
          <w:ilvl w:val="1"/>
          <w:numId w:val="3"/>
        </w:numPr>
        <w:tabs>
          <w:tab w:val="left" w:pos="567"/>
        </w:tabs>
        <w:ind w:left="567" w:hanging="567"/>
        <w:contextualSpacing/>
        <w:jc w:val="both"/>
        <w:rPr>
          <w:rFonts w:eastAsia="Calibri"/>
          <w:bCs/>
          <w:noProof/>
          <w:lang w:eastAsia="en-US"/>
        </w:rPr>
      </w:pPr>
      <w:r w:rsidRPr="00A777B6">
        <w:rPr>
          <w:rFonts w:eastAsia="Calibri"/>
          <w:bCs/>
          <w:noProof/>
          <w:lang w:eastAsia="en-US"/>
        </w:rPr>
        <w:t>Iesniegtos materiālus Pašvaldības Administratīvās nodaļas darbinieks sagatavo izskatīšanai Komisijas sēdē.</w:t>
      </w:r>
    </w:p>
    <w:p w:rsidR="00A777B6" w:rsidRPr="00A777B6" w:rsidRDefault="00A777B6" w:rsidP="00A777B6">
      <w:pPr>
        <w:numPr>
          <w:ilvl w:val="1"/>
          <w:numId w:val="3"/>
        </w:numPr>
        <w:tabs>
          <w:tab w:val="left" w:pos="567"/>
        </w:tabs>
        <w:ind w:left="567" w:hanging="567"/>
        <w:contextualSpacing/>
        <w:jc w:val="both"/>
        <w:rPr>
          <w:rFonts w:eastAsia="Calibri"/>
          <w:bCs/>
          <w:noProof/>
          <w:lang w:eastAsia="en-US"/>
        </w:rPr>
      </w:pPr>
      <w:r w:rsidRPr="00A777B6">
        <w:rPr>
          <w:rFonts w:eastAsia="Calibri"/>
          <w:bCs/>
          <w:noProof/>
          <w:lang w:eastAsia="en-US"/>
        </w:rPr>
        <w:t>Komisija ierosinājumus izskata slēgtā sēdē. Komisijai ir tiesības uz sēdi uzaicināt ierosinājuma iesniedzēju, attiecīgo nozaru speciālistus, Pašvaldības izpilddirektoru, struktūrvienību vadītājus.</w:t>
      </w:r>
    </w:p>
    <w:p w:rsidR="00A777B6" w:rsidRPr="00A777B6" w:rsidRDefault="00A777B6" w:rsidP="00A777B6">
      <w:pPr>
        <w:numPr>
          <w:ilvl w:val="1"/>
          <w:numId w:val="3"/>
        </w:numPr>
        <w:tabs>
          <w:tab w:val="left" w:pos="567"/>
        </w:tabs>
        <w:ind w:left="567" w:hanging="567"/>
        <w:contextualSpacing/>
        <w:jc w:val="both"/>
        <w:rPr>
          <w:rFonts w:eastAsia="Calibri"/>
          <w:bCs/>
          <w:noProof/>
          <w:lang w:eastAsia="en-US"/>
        </w:rPr>
      </w:pPr>
      <w:r w:rsidRPr="00A777B6">
        <w:rPr>
          <w:rFonts w:eastAsia="Calibri"/>
          <w:bCs/>
          <w:noProof/>
          <w:lang w:eastAsia="en-US"/>
        </w:rPr>
        <w:t>Komisijas sēde var notikt, ja tajā piedalās vairāk nekā puse no Komisijas locekļiem.</w:t>
      </w:r>
    </w:p>
    <w:p w:rsidR="00A777B6" w:rsidRPr="00A777B6" w:rsidRDefault="00A777B6" w:rsidP="00A777B6">
      <w:pPr>
        <w:numPr>
          <w:ilvl w:val="1"/>
          <w:numId w:val="3"/>
        </w:numPr>
        <w:tabs>
          <w:tab w:val="left" w:pos="567"/>
        </w:tabs>
        <w:ind w:left="567" w:hanging="567"/>
        <w:contextualSpacing/>
        <w:jc w:val="both"/>
        <w:rPr>
          <w:rFonts w:eastAsia="Calibri"/>
          <w:bCs/>
          <w:noProof/>
          <w:lang w:eastAsia="en-US"/>
        </w:rPr>
      </w:pPr>
      <w:r w:rsidRPr="00A777B6">
        <w:rPr>
          <w:rFonts w:eastAsia="Calibri"/>
          <w:bCs/>
          <w:noProof/>
          <w:lang w:eastAsia="en-US"/>
        </w:rPr>
        <w:t>Komisijas sēdes tiek protokolētas.</w:t>
      </w:r>
    </w:p>
    <w:p w:rsidR="00A777B6" w:rsidRPr="00A777B6" w:rsidRDefault="00A777B6" w:rsidP="00A777B6">
      <w:pPr>
        <w:numPr>
          <w:ilvl w:val="1"/>
          <w:numId w:val="3"/>
        </w:numPr>
        <w:tabs>
          <w:tab w:val="left" w:pos="567"/>
        </w:tabs>
        <w:ind w:left="567" w:hanging="567"/>
        <w:contextualSpacing/>
        <w:jc w:val="both"/>
        <w:rPr>
          <w:rFonts w:eastAsia="Calibri"/>
          <w:bCs/>
          <w:noProof/>
          <w:lang w:eastAsia="en-US"/>
        </w:rPr>
      </w:pPr>
      <w:r w:rsidRPr="00A777B6">
        <w:rPr>
          <w:rFonts w:eastAsia="Calibri"/>
          <w:bCs/>
          <w:noProof/>
          <w:lang w:eastAsia="en-US"/>
        </w:rPr>
        <w:t>Komisijas darbu vada Komisijas priekšsēdētājs.</w:t>
      </w:r>
    </w:p>
    <w:p w:rsidR="00A777B6" w:rsidRPr="00A777B6" w:rsidRDefault="00A777B6" w:rsidP="00A777B6">
      <w:pPr>
        <w:numPr>
          <w:ilvl w:val="1"/>
          <w:numId w:val="3"/>
        </w:numPr>
        <w:tabs>
          <w:tab w:val="left" w:pos="567"/>
        </w:tabs>
        <w:ind w:hanging="567"/>
        <w:contextualSpacing/>
        <w:jc w:val="both"/>
        <w:rPr>
          <w:rFonts w:eastAsia="Calibri"/>
          <w:noProof/>
          <w:lang w:eastAsia="en-US"/>
        </w:rPr>
      </w:pPr>
      <w:r w:rsidRPr="00A777B6">
        <w:rPr>
          <w:rFonts w:eastAsia="Calibri"/>
          <w:bCs/>
          <w:noProof/>
          <w:lang w:eastAsia="en-US"/>
        </w:rPr>
        <w:lastRenderedPageBreak/>
        <w:t>Katrs Komisijas loceklis pretendentus</w:t>
      </w:r>
      <w:r w:rsidRPr="00A777B6">
        <w:rPr>
          <w:rFonts w:eastAsia="Calibri"/>
          <w:noProof/>
          <w:lang w:eastAsia="en-US"/>
        </w:rPr>
        <w:t xml:space="preserve"> apbalvojuma „GODA NOVADNIEKS”, „GADA CILVĒKS”, un ATZINĪBAS RAKSTA saņemšanai vērtē godprātīgi un pēc savas iekšējās pārliecības 0 - 10 punktu sistēmā.</w:t>
      </w:r>
    </w:p>
    <w:p w:rsidR="00A777B6" w:rsidRPr="00A777B6" w:rsidRDefault="00A777B6" w:rsidP="00A777B6">
      <w:pPr>
        <w:numPr>
          <w:ilvl w:val="1"/>
          <w:numId w:val="3"/>
        </w:numPr>
        <w:tabs>
          <w:tab w:val="left" w:pos="567"/>
        </w:tabs>
        <w:ind w:left="567" w:hanging="567"/>
        <w:contextualSpacing/>
        <w:jc w:val="both"/>
        <w:rPr>
          <w:rFonts w:eastAsia="Calibri"/>
          <w:bCs/>
          <w:noProof/>
          <w:lang w:eastAsia="en-US"/>
        </w:rPr>
      </w:pPr>
      <w:r w:rsidRPr="00A777B6">
        <w:rPr>
          <w:rFonts w:eastAsia="Calibri"/>
          <w:noProof/>
          <w:lang w:eastAsia="en-US"/>
        </w:rPr>
        <w:t>Apbalvojuma „GODA NOVADNIEKS” un „GADA CILVĒKS” saņemšanai tiek virzīta fiziskā persona, kura ir saņēmusi augstāko punktu skaitu konkrētajā nominācijā, ar nosacījumu, ka vidējais vērtējums no viena komisijas locekļa ir ne mazāks kā 7 balles. Ja vienā nominācijā vienādu balsu skaitu saņēmušas vairākas personas, kā var izvirzīt apbalvošanai, šīs personas tiek izvērtētas atkārtoti.</w:t>
      </w:r>
    </w:p>
    <w:p w:rsidR="00A777B6" w:rsidRPr="00A777B6" w:rsidRDefault="00A777B6" w:rsidP="00A777B6">
      <w:pPr>
        <w:numPr>
          <w:ilvl w:val="1"/>
          <w:numId w:val="3"/>
        </w:numPr>
        <w:tabs>
          <w:tab w:val="left" w:pos="567"/>
        </w:tabs>
        <w:ind w:left="567" w:hanging="567"/>
        <w:contextualSpacing/>
        <w:jc w:val="both"/>
        <w:rPr>
          <w:rFonts w:eastAsia="Calibri"/>
          <w:bCs/>
          <w:noProof/>
          <w:lang w:eastAsia="en-US"/>
        </w:rPr>
      </w:pPr>
      <w:r w:rsidRPr="00A777B6">
        <w:rPr>
          <w:rFonts w:eastAsia="Calibri"/>
          <w:noProof/>
          <w:lang w:eastAsia="en-US"/>
        </w:rPr>
        <w:t>Apbalvojuma - ATZINĪBAS RAKSTA saņemšanai tiek virzītas fiziskās vai juridiskās personas, kuras ir saņēmušas augstāko punktu skaitu konkrētajā nominācijā, ar nosacījumu, ka vidējais vērtējums ir ne mazāks kā 6 balles. Ja vienādu balsu skaitu saņēmušas vairākas personas, kā var izvirzīt apbalvošanai, šīs personas tiek izvērtētas atkārtoti.</w:t>
      </w:r>
    </w:p>
    <w:p w:rsidR="00A777B6" w:rsidRPr="00A777B6" w:rsidRDefault="00A777B6" w:rsidP="00A777B6">
      <w:pPr>
        <w:numPr>
          <w:ilvl w:val="1"/>
          <w:numId w:val="3"/>
        </w:numPr>
        <w:tabs>
          <w:tab w:val="left" w:pos="567"/>
        </w:tabs>
        <w:ind w:left="567" w:hanging="567"/>
        <w:contextualSpacing/>
        <w:jc w:val="both"/>
        <w:rPr>
          <w:rFonts w:eastAsia="Calibri"/>
          <w:bCs/>
          <w:noProof/>
          <w:lang w:eastAsia="en-US"/>
        </w:rPr>
      </w:pPr>
      <w:r w:rsidRPr="00A777B6">
        <w:rPr>
          <w:rFonts w:eastAsia="Calibri"/>
          <w:bCs/>
          <w:noProof/>
          <w:lang w:eastAsia="en-US"/>
        </w:rPr>
        <w:t xml:space="preserve">Komisija lēmumus par balvas „GODA NOVADNIEKS”, </w:t>
      </w:r>
      <w:r w:rsidRPr="00A777B6">
        <w:rPr>
          <w:rFonts w:eastAsia="Calibri"/>
          <w:noProof/>
          <w:lang w:eastAsia="en-US"/>
        </w:rPr>
        <w:t>„</w:t>
      </w:r>
      <w:r w:rsidRPr="00A777B6">
        <w:rPr>
          <w:rFonts w:eastAsia="Calibri"/>
          <w:bCs/>
          <w:noProof/>
          <w:lang w:eastAsia="en-US"/>
        </w:rPr>
        <w:t>GADA CILVĒKS” un ATZINĪBAS RAKSTA piešķiršanu pieņem balsojot, ar klātesošo Komisijas locekļu balsu vairākumu. Ja balsis dalās, izšķirošā ir Komisijas priekšsēdētāja balss.</w:t>
      </w:r>
    </w:p>
    <w:p w:rsidR="00A777B6" w:rsidRPr="00A777B6" w:rsidRDefault="00A777B6" w:rsidP="00A777B6">
      <w:pPr>
        <w:numPr>
          <w:ilvl w:val="1"/>
          <w:numId w:val="3"/>
        </w:numPr>
        <w:tabs>
          <w:tab w:val="left" w:pos="567"/>
        </w:tabs>
        <w:ind w:left="567" w:hanging="567"/>
        <w:contextualSpacing/>
        <w:jc w:val="both"/>
        <w:rPr>
          <w:rFonts w:eastAsia="Calibri"/>
          <w:bCs/>
          <w:noProof/>
          <w:lang w:eastAsia="en-US"/>
        </w:rPr>
      </w:pPr>
      <w:r w:rsidRPr="00A777B6">
        <w:rPr>
          <w:rFonts w:eastAsia="Calibri"/>
          <w:bCs/>
          <w:noProof/>
          <w:lang w:eastAsia="en-US"/>
        </w:rPr>
        <w:t>Protokolu paraksta Komisijas priekšsēdētājs un protokolists.</w:t>
      </w:r>
    </w:p>
    <w:p w:rsidR="00A777B6" w:rsidRPr="00A777B6" w:rsidRDefault="00A777B6" w:rsidP="00A777B6">
      <w:pPr>
        <w:numPr>
          <w:ilvl w:val="1"/>
          <w:numId w:val="3"/>
        </w:numPr>
        <w:tabs>
          <w:tab w:val="left" w:pos="567"/>
        </w:tabs>
        <w:ind w:left="567" w:hanging="567"/>
        <w:contextualSpacing/>
        <w:jc w:val="both"/>
        <w:rPr>
          <w:rFonts w:eastAsia="Calibri"/>
          <w:bCs/>
          <w:noProof/>
          <w:lang w:eastAsia="en-US"/>
        </w:rPr>
      </w:pPr>
      <w:r w:rsidRPr="00A777B6">
        <w:rPr>
          <w:rFonts w:eastAsia="Calibri"/>
          <w:bCs/>
          <w:noProof/>
          <w:lang w:eastAsia="en-US"/>
        </w:rPr>
        <w:t>Komisijas sēdes protokolu nodod Pašvaldības Administratīvajai nodaļai, Komisijas priekšlikumus par apbalvojumu piešķiršanu lēmuma projekta veidā iesniedz apstiprināšanai Domes sēdē.</w:t>
      </w:r>
    </w:p>
    <w:p w:rsidR="00A777B6" w:rsidRPr="00A777B6" w:rsidRDefault="00A777B6" w:rsidP="00A777B6">
      <w:pPr>
        <w:jc w:val="both"/>
        <w:rPr>
          <w:rFonts w:eastAsia="Calibri"/>
        </w:rPr>
      </w:pPr>
    </w:p>
    <w:p w:rsidR="00A777B6" w:rsidRPr="00A777B6" w:rsidRDefault="00A777B6" w:rsidP="00A777B6">
      <w:pPr>
        <w:numPr>
          <w:ilvl w:val="0"/>
          <w:numId w:val="3"/>
        </w:numPr>
        <w:contextualSpacing/>
        <w:jc w:val="center"/>
        <w:rPr>
          <w:rFonts w:eastAsia="Calibri"/>
          <w:b/>
          <w:bCs/>
          <w:noProof/>
          <w:lang w:eastAsia="en-US"/>
        </w:rPr>
      </w:pPr>
      <w:r w:rsidRPr="00A777B6">
        <w:rPr>
          <w:rFonts w:eastAsia="Calibri"/>
          <w:b/>
          <w:bCs/>
          <w:noProof/>
          <w:lang w:eastAsia="en-US"/>
        </w:rPr>
        <w:t>Apbalvojumu uzskaite</w:t>
      </w:r>
    </w:p>
    <w:p w:rsidR="00A777B6" w:rsidRPr="00A777B6" w:rsidRDefault="00A777B6" w:rsidP="00A777B6">
      <w:pPr>
        <w:jc w:val="center"/>
      </w:pPr>
    </w:p>
    <w:p w:rsidR="00A777B6" w:rsidRPr="00A777B6" w:rsidRDefault="00A777B6" w:rsidP="00A777B6">
      <w:pPr>
        <w:numPr>
          <w:ilvl w:val="1"/>
          <w:numId w:val="3"/>
        </w:numPr>
        <w:tabs>
          <w:tab w:val="left" w:pos="567"/>
        </w:tabs>
        <w:ind w:left="567" w:hanging="567"/>
        <w:contextualSpacing/>
        <w:jc w:val="both"/>
        <w:rPr>
          <w:rFonts w:eastAsia="Calibri"/>
          <w:noProof/>
          <w:lang w:eastAsia="en-US"/>
        </w:rPr>
      </w:pPr>
      <w:r w:rsidRPr="00A777B6">
        <w:rPr>
          <w:rFonts w:eastAsia="Calibri"/>
          <w:bCs/>
          <w:noProof/>
          <w:lang w:eastAsia="en-US"/>
        </w:rPr>
        <w:t xml:space="preserve">Apbalvojuma </w:t>
      </w:r>
      <w:r w:rsidRPr="00A777B6">
        <w:rPr>
          <w:rFonts w:eastAsia="Calibri"/>
          <w:noProof/>
          <w:lang w:eastAsia="en-US"/>
        </w:rPr>
        <w:t>„GODA NOVADNIEKS”, „GADA CILVĒKS</w:t>
      </w:r>
      <w:r w:rsidRPr="00A777B6">
        <w:rPr>
          <w:rFonts w:eastAsia="Calibri"/>
          <w:bCs/>
          <w:noProof/>
          <w:lang w:eastAsia="en-US"/>
        </w:rPr>
        <w:t>”</w:t>
      </w:r>
      <w:r w:rsidRPr="00A777B6">
        <w:rPr>
          <w:rFonts w:eastAsia="Calibri"/>
          <w:noProof/>
          <w:lang w:eastAsia="en-US"/>
        </w:rPr>
        <w:t>, ATZINĪBAS RAKSTS uzskaiti un glabāšanu nodrošina Pašvaldības Administratīvā nodaļa.</w:t>
      </w:r>
    </w:p>
    <w:p w:rsidR="00A777B6" w:rsidRPr="00A777B6" w:rsidRDefault="00A777B6" w:rsidP="00A777B6">
      <w:pPr>
        <w:numPr>
          <w:ilvl w:val="1"/>
          <w:numId w:val="3"/>
        </w:numPr>
        <w:tabs>
          <w:tab w:val="left" w:pos="567"/>
        </w:tabs>
        <w:ind w:left="567" w:hanging="567"/>
        <w:contextualSpacing/>
        <w:jc w:val="both"/>
        <w:rPr>
          <w:rFonts w:eastAsia="Calibri"/>
          <w:noProof/>
          <w:lang w:eastAsia="en-US"/>
        </w:rPr>
      </w:pPr>
      <w:r w:rsidRPr="00A777B6">
        <w:rPr>
          <w:rFonts w:eastAsia="Calibri"/>
          <w:bCs/>
          <w:noProof/>
          <w:lang w:eastAsia="en-US"/>
        </w:rPr>
        <w:t xml:space="preserve">Apbalvojumu </w:t>
      </w:r>
      <w:r w:rsidRPr="00A777B6">
        <w:rPr>
          <w:rFonts w:eastAsia="Calibri"/>
          <w:noProof/>
          <w:lang w:eastAsia="en-US"/>
        </w:rPr>
        <w:t>„GODA NOVADNIEKS”, „GADA CILVĒKS</w:t>
      </w:r>
      <w:r w:rsidRPr="00A777B6">
        <w:rPr>
          <w:rFonts w:eastAsia="Calibri"/>
          <w:bCs/>
          <w:noProof/>
          <w:lang w:eastAsia="en-US"/>
        </w:rPr>
        <w:t>”</w:t>
      </w:r>
      <w:r w:rsidRPr="00A777B6">
        <w:rPr>
          <w:rFonts w:eastAsia="Calibri"/>
          <w:noProof/>
          <w:lang w:eastAsia="en-US"/>
        </w:rPr>
        <w:t>, ATZINĪBAS RAKSTS reģistrē īpašā reģistra grāmatā, kura glabājas Pašvaldības Administratīvajā nodaļā.</w:t>
      </w:r>
    </w:p>
    <w:p w:rsidR="00A777B6" w:rsidRPr="00A777B6" w:rsidRDefault="00A777B6" w:rsidP="00A777B6">
      <w:pPr>
        <w:numPr>
          <w:ilvl w:val="1"/>
          <w:numId w:val="3"/>
        </w:numPr>
        <w:autoSpaceDE w:val="0"/>
        <w:autoSpaceDN w:val="0"/>
        <w:adjustRightInd w:val="0"/>
        <w:jc w:val="both"/>
        <w:rPr>
          <w:rFonts w:eastAsia="Calibri"/>
        </w:rPr>
      </w:pPr>
      <w:r w:rsidRPr="00A777B6">
        <w:rPr>
          <w:rFonts w:eastAsia="Calibri"/>
        </w:rPr>
        <w:t xml:space="preserve">Par </w:t>
      </w:r>
      <w:r w:rsidRPr="00A777B6">
        <w:rPr>
          <w:rFonts w:eastAsia="Calibri"/>
          <w:bCs/>
        </w:rPr>
        <w:t>apbalvojuma</w:t>
      </w:r>
      <w:r w:rsidRPr="00A777B6">
        <w:rPr>
          <w:rFonts w:eastAsia="Calibri"/>
        </w:rPr>
        <w:t xml:space="preserve"> „GODA NOVADNIEKS”, </w:t>
      </w:r>
      <w:r w:rsidRPr="00A777B6">
        <w:rPr>
          <w:rFonts w:eastAsia="Calibri"/>
          <w:color w:val="000000"/>
        </w:rPr>
        <w:t>„</w:t>
      </w:r>
      <w:r w:rsidRPr="00A777B6">
        <w:rPr>
          <w:rFonts w:eastAsia="Calibri"/>
        </w:rPr>
        <w:t>GADA CILVĒKS</w:t>
      </w:r>
      <w:r w:rsidRPr="00A777B6">
        <w:rPr>
          <w:rFonts w:eastAsia="Calibri"/>
          <w:bCs/>
          <w:color w:val="000000"/>
        </w:rPr>
        <w:t>”</w:t>
      </w:r>
      <w:r w:rsidRPr="00A777B6">
        <w:rPr>
          <w:rFonts w:eastAsia="Calibri"/>
        </w:rPr>
        <w:t xml:space="preserve"> un ATZINĪBAS RAKSTA piešķiršanu informāciju ievieto </w:t>
      </w:r>
      <w:r w:rsidRPr="00A777B6">
        <w:rPr>
          <w:rFonts w:eastAsia="Calibri"/>
          <w:lang w:bidi="lo-LA"/>
        </w:rPr>
        <w:t xml:space="preserve">informatīvajā izdevumā „Limbažu Novada Ziņas”, mājaslapā </w:t>
      </w:r>
      <w:hyperlink r:id="rId7" w:history="1">
        <w:r w:rsidRPr="00A777B6">
          <w:rPr>
            <w:rFonts w:eastAsia="Calibri"/>
            <w:u w:val="single"/>
            <w:lang w:bidi="lo-LA"/>
          </w:rPr>
          <w:t>www.limbazi.lv</w:t>
        </w:r>
      </w:hyperlink>
      <w:r w:rsidRPr="00A777B6">
        <w:rPr>
          <w:rFonts w:eastAsia="Calibri"/>
          <w:lang w:bidi="lo-LA"/>
        </w:rPr>
        <w:t xml:space="preserve"> un pašvaldības veidotajos profilos sociālajos tīklos un</w:t>
      </w:r>
      <w:r w:rsidRPr="00A777B6">
        <w:rPr>
          <w:rFonts w:eastAsia="Calibri"/>
          <w:bCs/>
          <w:lang w:bidi="lo-LA"/>
        </w:rPr>
        <w:t xml:space="preserve"> citos masu informācijas līdzekļos, pēc piekrišanas saņemšanas no apbalvojamās personas.</w:t>
      </w:r>
    </w:p>
    <w:p w:rsidR="00A777B6" w:rsidRPr="00A777B6" w:rsidRDefault="00A777B6" w:rsidP="00A777B6">
      <w:pPr>
        <w:jc w:val="center"/>
        <w:rPr>
          <w:b/>
        </w:rPr>
      </w:pPr>
    </w:p>
    <w:p w:rsidR="00A777B6" w:rsidRPr="00A777B6" w:rsidRDefault="00A777B6" w:rsidP="00A777B6">
      <w:pPr>
        <w:numPr>
          <w:ilvl w:val="0"/>
          <w:numId w:val="3"/>
        </w:numPr>
        <w:contextualSpacing/>
        <w:jc w:val="center"/>
        <w:rPr>
          <w:rFonts w:eastAsia="Calibri"/>
          <w:b/>
          <w:noProof/>
          <w:lang w:eastAsia="en-US"/>
        </w:rPr>
      </w:pPr>
      <w:r w:rsidRPr="00A777B6">
        <w:rPr>
          <w:rFonts w:eastAsia="Calibri"/>
          <w:b/>
          <w:bCs/>
          <w:noProof/>
          <w:lang w:eastAsia="en-US"/>
        </w:rPr>
        <w:t>Noslēguma</w:t>
      </w:r>
      <w:r w:rsidRPr="00A777B6">
        <w:rPr>
          <w:rFonts w:eastAsia="Calibri"/>
          <w:b/>
          <w:noProof/>
          <w:lang w:eastAsia="en-US"/>
        </w:rPr>
        <w:t xml:space="preserve"> jautājumi</w:t>
      </w:r>
    </w:p>
    <w:p w:rsidR="00A777B6" w:rsidRPr="00A777B6" w:rsidRDefault="00A777B6" w:rsidP="00A777B6">
      <w:pPr>
        <w:jc w:val="center"/>
        <w:rPr>
          <w:b/>
        </w:rPr>
      </w:pPr>
    </w:p>
    <w:p w:rsidR="00A777B6" w:rsidRPr="00A777B6" w:rsidRDefault="00A777B6" w:rsidP="00A777B6">
      <w:pPr>
        <w:numPr>
          <w:ilvl w:val="1"/>
          <w:numId w:val="3"/>
        </w:numPr>
        <w:spacing w:after="120"/>
        <w:contextualSpacing/>
        <w:jc w:val="both"/>
        <w:rPr>
          <w:rFonts w:eastAsia="Calibri"/>
          <w:noProof/>
          <w:lang w:eastAsia="en-US"/>
        </w:rPr>
      </w:pPr>
      <w:r w:rsidRPr="00A777B6">
        <w:rPr>
          <w:rFonts w:eastAsia="Calibri"/>
          <w:noProof/>
          <w:lang w:eastAsia="en-US"/>
        </w:rPr>
        <w:t>Nolikums stājas spēkā nākamajā dienā pēc tā apstiprināšanas Domes sēdē.</w:t>
      </w:r>
    </w:p>
    <w:p w:rsidR="00A777B6" w:rsidRPr="00A777B6" w:rsidRDefault="00A777B6" w:rsidP="00A777B6">
      <w:pPr>
        <w:numPr>
          <w:ilvl w:val="1"/>
          <w:numId w:val="3"/>
        </w:numPr>
        <w:spacing w:after="120"/>
        <w:contextualSpacing/>
        <w:jc w:val="both"/>
        <w:rPr>
          <w:rFonts w:eastAsia="Calibri"/>
          <w:noProof/>
          <w:lang w:eastAsia="en-US"/>
        </w:rPr>
      </w:pPr>
      <w:r w:rsidRPr="00A777B6">
        <w:rPr>
          <w:rFonts w:eastAsia="Calibri"/>
          <w:noProof/>
          <w:lang w:eastAsia="en-US"/>
        </w:rPr>
        <w:t>Ar šī nolikuma spēkā stāšanās brīdi spēku zaudē Limbažu novada pašvaldības Apbalvojumu komisijas nolikums, kas apstiprināts ar Limbažu novada domes 25.10.2012. sēdes lēmumu (protokols Nr.16, 5.§).</w:t>
      </w:r>
    </w:p>
    <w:p w:rsidR="00A777B6" w:rsidRPr="00A777B6" w:rsidRDefault="00A777B6" w:rsidP="00A777B6">
      <w:pPr>
        <w:jc w:val="both"/>
      </w:pPr>
    </w:p>
    <w:p w:rsidR="00A777B6" w:rsidRPr="00A777B6" w:rsidRDefault="00A777B6" w:rsidP="00A777B6"/>
    <w:p w:rsidR="00A777B6" w:rsidRPr="00A777B6" w:rsidRDefault="00A777B6" w:rsidP="00A777B6">
      <w:pPr>
        <w:tabs>
          <w:tab w:val="left" w:pos="4678"/>
          <w:tab w:val="left" w:pos="8505"/>
        </w:tabs>
      </w:pPr>
      <w:r w:rsidRPr="00A777B6">
        <w:t>Limbažu novada pašvaldības</w:t>
      </w:r>
    </w:p>
    <w:p w:rsidR="00A777B6" w:rsidRPr="00A777B6" w:rsidRDefault="00A777B6" w:rsidP="00A777B6">
      <w:pPr>
        <w:tabs>
          <w:tab w:val="left" w:pos="4678"/>
          <w:tab w:val="left" w:pos="6804"/>
          <w:tab w:val="left" w:pos="8505"/>
        </w:tabs>
      </w:pPr>
      <w:r w:rsidRPr="00A777B6">
        <w:t>Domes priekšsēdētājs</w:t>
      </w:r>
      <w:r w:rsidRPr="00A777B6">
        <w:tab/>
        <w:t>/paraksts/</w:t>
      </w:r>
      <w:r w:rsidRPr="00A777B6">
        <w:tab/>
      </w:r>
      <w:r>
        <w:t xml:space="preserve">                           </w:t>
      </w:r>
      <w:proofErr w:type="spellStart"/>
      <w:r w:rsidRPr="00A777B6">
        <w:t>D.Zemmers</w:t>
      </w:r>
      <w:proofErr w:type="spellEnd"/>
    </w:p>
    <w:p w:rsidR="00A777B6" w:rsidRPr="00A777B6" w:rsidRDefault="00A777B6" w:rsidP="00A777B6">
      <w:pPr>
        <w:contextualSpacing/>
        <w:jc w:val="both"/>
        <w:rPr>
          <w:rFonts w:eastAsia="Calibri"/>
          <w:lang w:eastAsia="en-US"/>
        </w:rPr>
      </w:pPr>
    </w:p>
    <w:p w:rsidR="00ED58EB" w:rsidRPr="00A777B6" w:rsidRDefault="00ED58EB" w:rsidP="00A777B6"/>
    <w:sectPr w:rsidR="00ED58EB" w:rsidRPr="00A777B6" w:rsidSect="00074A80">
      <w:headerReference w:type="default" r:id="rId8"/>
      <w:footerReference w:type="default" r:id="rId9"/>
      <w:headerReference w:type="firs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039" w:rsidRDefault="00182039" w:rsidP="00A777B6">
      <w:r>
        <w:separator/>
      </w:r>
    </w:p>
  </w:endnote>
  <w:endnote w:type="continuationSeparator" w:id="0">
    <w:p w:rsidR="00182039" w:rsidRDefault="00182039" w:rsidP="00A7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7B6" w:rsidRDefault="00A777B6">
    <w:pPr>
      <w:pStyle w:val="Kjene"/>
      <w:jc w:val="center"/>
    </w:pPr>
  </w:p>
  <w:p w:rsidR="00A777B6" w:rsidRDefault="00A777B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039" w:rsidRDefault="00182039" w:rsidP="00A777B6">
      <w:r>
        <w:separator/>
      </w:r>
    </w:p>
  </w:footnote>
  <w:footnote w:type="continuationSeparator" w:id="0">
    <w:p w:rsidR="00182039" w:rsidRDefault="00182039" w:rsidP="00A77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937427"/>
      <w:docPartObj>
        <w:docPartGallery w:val="Page Numbers (Top of Page)"/>
        <w:docPartUnique/>
      </w:docPartObj>
    </w:sdtPr>
    <w:sdtEndPr/>
    <w:sdtContent>
      <w:p w:rsidR="00A777B6" w:rsidRDefault="00A777B6">
        <w:pPr>
          <w:pStyle w:val="Galvene"/>
          <w:jc w:val="center"/>
        </w:pPr>
        <w:r>
          <w:fldChar w:fldCharType="begin"/>
        </w:r>
        <w:r>
          <w:instrText>PAGE   \* MERGEFORMAT</w:instrText>
        </w:r>
        <w:r>
          <w:fldChar w:fldCharType="separate"/>
        </w:r>
        <w:r w:rsidR="00074A80">
          <w:rPr>
            <w:noProof/>
          </w:rPr>
          <w:t>2</w:t>
        </w:r>
        <w:r>
          <w:fldChar w:fldCharType="end"/>
        </w:r>
      </w:p>
    </w:sdtContent>
  </w:sdt>
  <w:p w:rsidR="00A777B6" w:rsidRDefault="00A777B6">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24D" w:rsidRDefault="0045224D">
    <w:pPr>
      <w:pStyle w:val="Galvene"/>
    </w:pPr>
    <w:r>
      <w:rPr>
        <w:noProof/>
      </w:rPr>
      <w:drawing>
        <wp:anchor distT="0" distB="0" distL="114300" distR="114300" simplePos="0" relativeHeight="251659264" behindDoc="1" locked="0" layoutInCell="1" allowOverlap="1" wp14:anchorId="16CB823F" wp14:editId="18506E40">
          <wp:simplePos x="0" y="0"/>
          <wp:positionH relativeFrom="page">
            <wp:align>right</wp:align>
          </wp:positionH>
          <wp:positionV relativeFrom="paragraph">
            <wp:posOffset>-448310</wp:posOffset>
          </wp:positionV>
          <wp:extent cx="7552690" cy="2327910"/>
          <wp:effectExtent l="0" t="0" r="0" b="0"/>
          <wp:wrapTight wrapText="bothSides">
            <wp:wrapPolygon edited="0">
              <wp:start x="0" y="0"/>
              <wp:lineTo x="0" y="21388"/>
              <wp:lineTo x="21520" y="21388"/>
              <wp:lineTo x="21520" y="0"/>
              <wp:lineTo x="0" y="0"/>
            </wp:wrapPolygon>
          </wp:wrapTight>
          <wp:docPr id="1" name="Attēls 1"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F1BAB"/>
    <w:multiLevelType w:val="multilevel"/>
    <w:tmpl w:val="54721BF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cs="Arial Unicode MS" w:hint="default"/>
      </w:rPr>
    </w:lvl>
    <w:lvl w:ilvl="2">
      <w:start w:val="1"/>
      <w:numFmt w:val="decimal"/>
      <w:isLgl/>
      <w:lvlText w:val="%1.%2.%3."/>
      <w:lvlJc w:val="left"/>
      <w:pPr>
        <w:ind w:left="1080" w:hanging="720"/>
      </w:pPr>
      <w:rPr>
        <w:rFonts w:cs="Arial Unicode MS" w:hint="default"/>
      </w:rPr>
    </w:lvl>
    <w:lvl w:ilvl="3">
      <w:start w:val="1"/>
      <w:numFmt w:val="decimal"/>
      <w:isLgl/>
      <w:lvlText w:val="%1.%2.%3.%4."/>
      <w:lvlJc w:val="left"/>
      <w:pPr>
        <w:ind w:left="1080" w:hanging="720"/>
      </w:pPr>
      <w:rPr>
        <w:rFonts w:cs="Arial Unicode MS" w:hint="default"/>
      </w:rPr>
    </w:lvl>
    <w:lvl w:ilvl="4">
      <w:start w:val="1"/>
      <w:numFmt w:val="decimal"/>
      <w:isLgl/>
      <w:lvlText w:val="%1.%2.%3.%4.%5."/>
      <w:lvlJc w:val="left"/>
      <w:pPr>
        <w:ind w:left="1440" w:hanging="1080"/>
      </w:pPr>
      <w:rPr>
        <w:rFonts w:cs="Arial Unicode MS" w:hint="default"/>
      </w:rPr>
    </w:lvl>
    <w:lvl w:ilvl="5">
      <w:start w:val="1"/>
      <w:numFmt w:val="decimal"/>
      <w:isLgl/>
      <w:lvlText w:val="%1.%2.%3.%4.%5.%6."/>
      <w:lvlJc w:val="left"/>
      <w:pPr>
        <w:ind w:left="1440" w:hanging="1080"/>
      </w:pPr>
      <w:rPr>
        <w:rFonts w:cs="Arial Unicode MS" w:hint="default"/>
      </w:rPr>
    </w:lvl>
    <w:lvl w:ilvl="6">
      <w:start w:val="1"/>
      <w:numFmt w:val="decimal"/>
      <w:isLgl/>
      <w:lvlText w:val="%1.%2.%3.%4.%5.%6.%7."/>
      <w:lvlJc w:val="left"/>
      <w:pPr>
        <w:ind w:left="1800" w:hanging="1440"/>
      </w:pPr>
      <w:rPr>
        <w:rFonts w:cs="Arial Unicode MS" w:hint="default"/>
      </w:rPr>
    </w:lvl>
    <w:lvl w:ilvl="7">
      <w:start w:val="1"/>
      <w:numFmt w:val="decimal"/>
      <w:isLgl/>
      <w:lvlText w:val="%1.%2.%3.%4.%5.%6.%7.%8."/>
      <w:lvlJc w:val="left"/>
      <w:pPr>
        <w:ind w:left="1800" w:hanging="1440"/>
      </w:pPr>
      <w:rPr>
        <w:rFonts w:cs="Arial Unicode MS" w:hint="default"/>
      </w:rPr>
    </w:lvl>
    <w:lvl w:ilvl="8">
      <w:start w:val="1"/>
      <w:numFmt w:val="decimal"/>
      <w:isLgl/>
      <w:lvlText w:val="%1.%2.%3.%4.%5.%6.%7.%8.%9."/>
      <w:lvlJc w:val="left"/>
      <w:pPr>
        <w:ind w:left="2160" w:hanging="1800"/>
      </w:pPr>
      <w:rPr>
        <w:rFonts w:cs="Arial Unicode MS" w:hint="default"/>
      </w:rPr>
    </w:lvl>
  </w:abstractNum>
  <w:abstractNum w:abstractNumId="1" w15:restartNumberingAfterBreak="0">
    <w:nsid w:val="6112328B"/>
    <w:multiLevelType w:val="multilevel"/>
    <w:tmpl w:val="921CB508"/>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101"/>
    <w:rsid w:val="00074A80"/>
    <w:rsid w:val="000B52FB"/>
    <w:rsid w:val="00182039"/>
    <w:rsid w:val="00445101"/>
    <w:rsid w:val="0045224D"/>
    <w:rsid w:val="00A777B6"/>
    <w:rsid w:val="00C8577E"/>
    <w:rsid w:val="00ED58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0650E-5485-41BD-A9E7-F75DF086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4510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445101"/>
    <w:rPr>
      <w:color w:val="0563C1" w:themeColor="hyperlink"/>
      <w:u w:val="single"/>
    </w:rPr>
  </w:style>
  <w:style w:type="paragraph" w:styleId="Sarakstarindkopa">
    <w:name w:val="List Paragraph"/>
    <w:basedOn w:val="Parasts"/>
    <w:uiPriority w:val="34"/>
    <w:qFormat/>
    <w:rsid w:val="00445101"/>
    <w:pPr>
      <w:spacing w:after="120"/>
      <w:ind w:left="720"/>
      <w:contextualSpacing/>
    </w:pPr>
    <w:rPr>
      <w:rFonts w:ascii="Calibri" w:eastAsia="Calibri" w:hAnsi="Calibri" w:cs="DokChampa"/>
      <w:noProof/>
      <w:sz w:val="22"/>
      <w:szCs w:val="22"/>
      <w:lang w:eastAsia="en-US"/>
    </w:rPr>
  </w:style>
  <w:style w:type="paragraph" w:customStyle="1" w:styleId="Default">
    <w:name w:val="Default"/>
    <w:rsid w:val="00445101"/>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Galvene">
    <w:name w:val="header"/>
    <w:basedOn w:val="Parasts"/>
    <w:link w:val="GalveneRakstz"/>
    <w:uiPriority w:val="99"/>
    <w:unhideWhenUsed/>
    <w:rsid w:val="00A777B6"/>
    <w:pPr>
      <w:tabs>
        <w:tab w:val="center" w:pos="4153"/>
        <w:tab w:val="right" w:pos="8306"/>
      </w:tabs>
    </w:pPr>
  </w:style>
  <w:style w:type="character" w:customStyle="1" w:styleId="GalveneRakstz">
    <w:name w:val="Galvene Rakstz."/>
    <w:basedOn w:val="Noklusjumarindkopasfonts"/>
    <w:link w:val="Galvene"/>
    <w:uiPriority w:val="99"/>
    <w:rsid w:val="00A777B6"/>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A777B6"/>
    <w:pPr>
      <w:tabs>
        <w:tab w:val="center" w:pos="4153"/>
        <w:tab w:val="right" w:pos="8306"/>
      </w:tabs>
    </w:pPr>
  </w:style>
  <w:style w:type="character" w:customStyle="1" w:styleId="KjeneRakstz">
    <w:name w:val="Kājene Rakstz."/>
    <w:basedOn w:val="Noklusjumarindkopasfonts"/>
    <w:link w:val="Kjene"/>
    <w:uiPriority w:val="99"/>
    <w:rsid w:val="00A777B6"/>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71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2718</Words>
  <Characters>1550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5</cp:revision>
  <cp:lastPrinted>2021-09-16T14:02:00Z</cp:lastPrinted>
  <dcterms:created xsi:type="dcterms:W3CDTF">2021-09-09T07:30:00Z</dcterms:created>
  <dcterms:modified xsi:type="dcterms:W3CDTF">2021-09-28T06:11:00Z</dcterms:modified>
</cp:coreProperties>
</file>