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37D63B" w14:textId="77777777" w:rsidR="00861939" w:rsidRDefault="00861939" w:rsidP="00861939">
      <w:pPr>
        <w:spacing w:after="0" w:line="240" w:lineRule="auto"/>
        <w:jc w:val="center"/>
        <w:rPr>
          <w:rFonts w:ascii="Times New Roman" w:eastAsia="Times New Roman" w:hAnsi="Times New Roman" w:cs="Times New Roman"/>
          <w:color w:val="000000"/>
          <w:sz w:val="24"/>
          <w:szCs w:val="24"/>
        </w:rPr>
      </w:pPr>
    </w:p>
    <w:p w14:paraId="3748C292" w14:textId="126A5594" w:rsidR="00F97B87" w:rsidRPr="00BD2866" w:rsidRDefault="00F97B87" w:rsidP="00F97B87">
      <w:pPr>
        <w:spacing w:after="200" w:line="276" w:lineRule="auto"/>
        <w:jc w:val="center"/>
        <w:rPr>
          <w:rFonts w:ascii="Times New Roman" w:eastAsia="Times New Roman" w:hAnsi="Times New Roman" w:cs="Times New Roman"/>
          <w:b/>
          <w:color w:val="000000"/>
          <w:sz w:val="24"/>
          <w:szCs w:val="24"/>
        </w:rPr>
      </w:pPr>
      <w:r w:rsidRPr="00BD2866">
        <w:rPr>
          <w:rFonts w:ascii="Times New Roman" w:eastAsia="Times New Roman" w:hAnsi="Times New Roman" w:cs="Times New Roman"/>
          <w:color w:val="000000"/>
          <w:sz w:val="24"/>
          <w:szCs w:val="24"/>
        </w:rPr>
        <w:t>Limbažos</w:t>
      </w:r>
    </w:p>
    <w:p w14:paraId="7D5D2EF5" w14:textId="77777777" w:rsidR="00F97B87" w:rsidRPr="00BD2866" w:rsidRDefault="00F97B87" w:rsidP="00F97B87">
      <w:pPr>
        <w:autoSpaceDE w:val="0"/>
        <w:adjustRightInd w:val="0"/>
        <w:spacing w:after="0" w:line="240" w:lineRule="auto"/>
        <w:jc w:val="center"/>
        <w:rPr>
          <w:rFonts w:ascii="Times New Roman" w:eastAsia="Times New Roman" w:hAnsi="Times New Roman" w:cs="Times New Roman"/>
          <w:b/>
          <w:bCs/>
          <w:color w:val="000000"/>
          <w:sz w:val="24"/>
          <w:szCs w:val="24"/>
        </w:rPr>
      </w:pPr>
      <w:r w:rsidRPr="00BD2866">
        <w:rPr>
          <w:rFonts w:ascii="Times New Roman" w:eastAsia="Times New Roman" w:hAnsi="Times New Roman" w:cs="Times New Roman"/>
          <w:b/>
          <w:color w:val="000000"/>
          <w:sz w:val="24"/>
          <w:szCs w:val="24"/>
        </w:rPr>
        <w:t>PASKAIDROJUMA RAKSTS</w:t>
      </w:r>
    </w:p>
    <w:p w14:paraId="7ADF57A0" w14:textId="1E674C72" w:rsidR="00F97B87" w:rsidRPr="00BD2866" w:rsidRDefault="00F97B87" w:rsidP="00F97B87">
      <w:pPr>
        <w:autoSpaceDE w:val="0"/>
        <w:adjustRightInd w:val="0"/>
        <w:spacing w:after="0" w:line="240" w:lineRule="auto"/>
        <w:jc w:val="center"/>
        <w:rPr>
          <w:rFonts w:ascii="Times New Roman" w:eastAsia="Times New Roman" w:hAnsi="Times New Roman" w:cs="Times New Roman"/>
          <w:b/>
          <w:bCs/>
          <w:color w:val="000000"/>
          <w:sz w:val="24"/>
          <w:szCs w:val="24"/>
        </w:rPr>
      </w:pPr>
      <w:r w:rsidRPr="00BD2866">
        <w:rPr>
          <w:rFonts w:ascii="Times New Roman" w:eastAsia="Times New Roman" w:hAnsi="Times New Roman" w:cs="Times New Roman"/>
          <w:b/>
          <w:color w:val="000000"/>
          <w:sz w:val="24"/>
          <w:szCs w:val="24"/>
        </w:rPr>
        <w:t xml:space="preserve">Limbažu novada pašvaldības domes 2022.gada </w:t>
      </w:r>
      <w:r w:rsidR="00861939">
        <w:rPr>
          <w:rFonts w:ascii="Times New Roman" w:eastAsia="Times New Roman" w:hAnsi="Times New Roman" w:cs="Times New Roman"/>
          <w:b/>
          <w:color w:val="000000"/>
          <w:sz w:val="24"/>
          <w:szCs w:val="24"/>
        </w:rPr>
        <w:t>24</w:t>
      </w:r>
      <w:r w:rsidRPr="00BD2866">
        <w:rPr>
          <w:rFonts w:ascii="Times New Roman" w:eastAsia="Times New Roman" w:hAnsi="Times New Roman" w:cs="Times New Roman"/>
          <w:b/>
          <w:color w:val="000000"/>
          <w:sz w:val="24"/>
          <w:szCs w:val="24"/>
        </w:rPr>
        <w:t xml:space="preserve">.februāra saistošajiem noteikumiem </w:t>
      </w:r>
      <w:r w:rsidRPr="00BD2866">
        <w:rPr>
          <w:rFonts w:ascii="Times New Roman" w:eastAsia="Times New Roman" w:hAnsi="Times New Roman" w:cs="Times New Roman"/>
          <w:b/>
          <w:sz w:val="24"/>
          <w:szCs w:val="24"/>
        </w:rPr>
        <w:t>Nr.</w:t>
      </w:r>
      <w:r w:rsidR="00861939">
        <w:rPr>
          <w:rFonts w:ascii="Times New Roman" w:eastAsia="Times New Roman" w:hAnsi="Times New Roman" w:cs="Times New Roman"/>
          <w:b/>
          <w:sz w:val="24"/>
          <w:szCs w:val="24"/>
        </w:rPr>
        <w:t>13</w:t>
      </w:r>
      <w:r w:rsidRPr="00BD2866">
        <w:rPr>
          <w:rFonts w:ascii="Times New Roman" w:eastAsia="Times New Roman" w:hAnsi="Times New Roman" w:cs="Times New Roman"/>
          <w:b/>
          <w:sz w:val="24"/>
          <w:szCs w:val="24"/>
        </w:rPr>
        <w:t xml:space="preserve"> </w:t>
      </w:r>
      <w:r w:rsidRPr="00BD2866">
        <w:rPr>
          <w:rFonts w:ascii="Times New Roman" w:eastAsia="Times New Roman" w:hAnsi="Times New Roman" w:cs="Times New Roman"/>
          <w:b/>
          <w:sz w:val="24"/>
          <w:szCs w:val="24"/>
          <w:lang w:eastAsia="lv-LV"/>
        </w:rPr>
        <w:t>“</w:t>
      </w:r>
      <w:r w:rsidRPr="00F97B87">
        <w:rPr>
          <w:rFonts w:ascii="Times New Roman" w:eastAsia="Times New Roman" w:hAnsi="Times New Roman" w:cs="Times New Roman"/>
          <w:b/>
          <w:bCs/>
          <w:sz w:val="24"/>
          <w:szCs w:val="24"/>
          <w:lang w:eastAsia="lv-LV"/>
        </w:rPr>
        <w:t>Par azartspēļu organizēšanu Limbažu novada administratīvajā teritorijā</w:t>
      </w:r>
      <w:r w:rsidRPr="00BD2866">
        <w:rPr>
          <w:rFonts w:ascii="Times New Roman" w:eastAsia="Times New Roman" w:hAnsi="Times New Roman" w:cs="Times New Roman"/>
          <w:b/>
          <w:sz w:val="24"/>
          <w:szCs w:val="24"/>
          <w:lang w:eastAsia="lv-LV"/>
        </w:rPr>
        <w:t>”</w:t>
      </w:r>
    </w:p>
    <w:p w14:paraId="6531813F" w14:textId="77777777" w:rsidR="00F97B87" w:rsidRPr="00BD2866" w:rsidRDefault="00F97B87" w:rsidP="00F97B87">
      <w:pPr>
        <w:autoSpaceDE w:val="0"/>
        <w:adjustRightInd w:val="0"/>
        <w:spacing w:after="0" w:line="240" w:lineRule="auto"/>
        <w:jc w:val="center"/>
        <w:rPr>
          <w:rFonts w:ascii="Times New Roman" w:eastAsia="Times New Roman" w:hAnsi="Times New Roman" w:cs="Times New Roman"/>
          <w:b/>
          <w:bCs/>
          <w:color w:val="000000"/>
          <w:sz w:val="24"/>
          <w:szCs w:val="24"/>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F97B87" w:rsidRPr="00BD2866" w14:paraId="0497BBB8" w14:textId="77777777" w:rsidTr="00313844">
        <w:trPr>
          <w:trHeight w:val="557"/>
        </w:trPr>
        <w:tc>
          <w:tcPr>
            <w:tcW w:w="4694" w:type="dxa"/>
            <w:tcBorders>
              <w:top w:val="single" w:sz="4" w:space="0" w:color="auto"/>
              <w:left w:val="single" w:sz="4" w:space="0" w:color="auto"/>
              <w:bottom w:val="single" w:sz="4" w:space="0" w:color="auto"/>
              <w:right w:val="single" w:sz="4" w:space="0" w:color="auto"/>
            </w:tcBorders>
          </w:tcPr>
          <w:p w14:paraId="37382BEC" w14:textId="77777777" w:rsidR="00F97B87" w:rsidRPr="00BD2866" w:rsidRDefault="00F97B87" w:rsidP="00313844">
            <w:pPr>
              <w:autoSpaceDE w:val="0"/>
              <w:adjustRightInd w:val="0"/>
              <w:spacing w:after="0" w:line="240" w:lineRule="auto"/>
              <w:jc w:val="center"/>
              <w:rPr>
                <w:rFonts w:ascii="Times New Roman" w:eastAsia="Times New Roman" w:hAnsi="Times New Roman" w:cs="Times New Roman"/>
                <w:b/>
                <w:bCs/>
                <w:color w:val="000000"/>
                <w:sz w:val="24"/>
                <w:szCs w:val="24"/>
              </w:rPr>
            </w:pPr>
            <w:r w:rsidRPr="00BD2866">
              <w:rPr>
                <w:rFonts w:ascii="Times New Roman" w:eastAsia="Times New Roman" w:hAnsi="Times New Roman" w:cs="Times New Roman"/>
                <w:b/>
                <w:color w:val="000000"/>
                <w:sz w:val="24"/>
                <w:szCs w:val="24"/>
              </w:rPr>
              <w:t>Paskaidrojuma raksta sadaļas</w:t>
            </w:r>
          </w:p>
          <w:p w14:paraId="00F9D501" w14:textId="77777777" w:rsidR="00F97B87" w:rsidRPr="00BD2866" w:rsidRDefault="00F97B87" w:rsidP="00313844">
            <w:pPr>
              <w:autoSpaceDE w:val="0"/>
              <w:adjustRightInd w:val="0"/>
              <w:spacing w:after="0" w:line="240" w:lineRule="auto"/>
              <w:jc w:val="center"/>
              <w:rPr>
                <w:rFonts w:ascii="Times New Roman" w:eastAsia="Times New Roman" w:hAnsi="Times New Roman" w:cs="Times New Roman"/>
                <w:b/>
                <w:color w:val="000000"/>
                <w:sz w:val="24"/>
                <w:szCs w:val="24"/>
              </w:rPr>
            </w:pPr>
          </w:p>
        </w:tc>
        <w:tc>
          <w:tcPr>
            <w:tcW w:w="4694" w:type="dxa"/>
            <w:tcBorders>
              <w:top w:val="single" w:sz="4" w:space="0" w:color="auto"/>
              <w:left w:val="single" w:sz="4" w:space="0" w:color="auto"/>
              <w:bottom w:val="single" w:sz="4" w:space="0" w:color="auto"/>
              <w:right w:val="single" w:sz="4" w:space="0" w:color="auto"/>
            </w:tcBorders>
          </w:tcPr>
          <w:p w14:paraId="0B6D39CB" w14:textId="77777777" w:rsidR="00F97B87" w:rsidRPr="00BD2866" w:rsidRDefault="00F97B87" w:rsidP="00313844">
            <w:pPr>
              <w:autoSpaceDE w:val="0"/>
              <w:adjustRightInd w:val="0"/>
              <w:spacing w:after="0" w:line="240" w:lineRule="auto"/>
              <w:jc w:val="center"/>
              <w:rPr>
                <w:rFonts w:ascii="Times New Roman" w:eastAsia="Times New Roman" w:hAnsi="Times New Roman" w:cs="Times New Roman"/>
                <w:b/>
                <w:bCs/>
                <w:color w:val="000000"/>
                <w:sz w:val="24"/>
                <w:szCs w:val="24"/>
              </w:rPr>
            </w:pPr>
            <w:r w:rsidRPr="00BD2866">
              <w:rPr>
                <w:rFonts w:ascii="Times New Roman" w:eastAsia="Times New Roman" w:hAnsi="Times New Roman" w:cs="Times New Roman"/>
                <w:b/>
                <w:color w:val="000000"/>
                <w:sz w:val="24"/>
                <w:szCs w:val="24"/>
              </w:rPr>
              <w:t>Norādāmā informācija</w:t>
            </w:r>
          </w:p>
          <w:p w14:paraId="784EDD96" w14:textId="77777777" w:rsidR="00F97B87" w:rsidRPr="00BD2866" w:rsidRDefault="00F97B87" w:rsidP="00313844">
            <w:pPr>
              <w:autoSpaceDE w:val="0"/>
              <w:adjustRightInd w:val="0"/>
              <w:spacing w:after="0" w:line="240" w:lineRule="auto"/>
              <w:jc w:val="center"/>
              <w:rPr>
                <w:rFonts w:ascii="Times New Roman" w:eastAsia="Times New Roman" w:hAnsi="Times New Roman" w:cs="Times New Roman"/>
                <w:b/>
                <w:color w:val="000000"/>
                <w:sz w:val="24"/>
                <w:szCs w:val="24"/>
              </w:rPr>
            </w:pPr>
          </w:p>
        </w:tc>
      </w:tr>
      <w:tr w:rsidR="00F97B87" w:rsidRPr="00BD2866" w14:paraId="72409086" w14:textId="77777777" w:rsidTr="00313844">
        <w:trPr>
          <w:trHeight w:val="717"/>
        </w:trPr>
        <w:tc>
          <w:tcPr>
            <w:tcW w:w="4694" w:type="dxa"/>
            <w:tcBorders>
              <w:top w:val="single" w:sz="4" w:space="0" w:color="auto"/>
              <w:left w:val="single" w:sz="4" w:space="0" w:color="auto"/>
              <w:bottom w:val="single" w:sz="4" w:space="0" w:color="auto"/>
              <w:right w:val="single" w:sz="4" w:space="0" w:color="auto"/>
            </w:tcBorders>
          </w:tcPr>
          <w:p w14:paraId="4C093339" w14:textId="77777777" w:rsidR="00F97B87" w:rsidRPr="00BD2866" w:rsidRDefault="00F97B87" w:rsidP="00313844">
            <w:pPr>
              <w:autoSpaceDE w:val="0"/>
              <w:adjustRightInd w:val="0"/>
              <w:spacing w:after="0" w:line="240" w:lineRule="auto"/>
              <w:rPr>
                <w:rFonts w:ascii="Times New Roman" w:eastAsia="Times New Roman" w:hAnsi="Times New Roman" w:cs="Times New Roman"/>
                <w:b/>
                <w:color w:val="000000"/>
                <w:sz w:val="24"/>
                <w:szCs w:val="24"/>
              </w:rPr>
            </w:pPr>
            <w:r w:rsidRPr="00BD2866">
              <w:rPr>
                <w:rFonts w:ascii="Times New Roman" w:eastAsia="Times New Roman" w:hAnsi="Times New Roman" w:cs="Times New Roman"/>
                <w:color w:val="000000"/>
                <w:sz w:val="24"/>
                <w:szCs w:val="24"/>
              </w:rPr>
              <w:t>1. Saistošo noteikumu projekta nepieciešamības pamatojums</w:t>
            </w:r>
          </w:p>
          <w:p w14:paraId="17FEE016" w14:textId="77777777" w:rsidR="00F97B87" w:rsidRPr="00BD2866" w:rsidRDefault="00F97B87" w:rsidP="00313844">
            <w:pPr>
              <w:autoSpaceDE w:val="0"/>
              <w:adjustRightInd w:val="0"/>
              <w:spacing w:after="0" w:line="240" w:lineRule="auto"/>
              <w:rPr>
                <w:rFonts w:ascii="Times New Roman" w:eastAsia="Times New Roman" w:hAnsi="Times New Roman" w:cs="Times New Roman"/>
                <w:b/>
                <w:color w:val="000000"/>
                <w:sz w:val="24"/>
                <w:szCs w:val="24"/>
              </w:rPr>
            </w:pPr>
          </w:p>
        </w:tc>
        <w:tc>
          <w:tcPr>
            <w:tcW w:w="4694" w:type="dxa"/>
            <w:tcBorders>
              <w:top w:val="single" w:sz="4" w:space="0" w:color="auto"/>
              <w:left w:val="single" w:sz="4" w:space="0" w:color="auto"/>
              <w:bottom w:val="single" w:sz="4" w:space="0" w:color="auto"/>
              <w:right w:val="single" w:sz="4" w:space="0" w:color="auto"/>
            </w:tcBorders>
          </w:tcPr>
          <w:p w14:paraId="22B92E16" w14:textId="77777777" w:rsidR="00F97B87" w:rsidRDefault="00F97B87" w:rsidP="00313844">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sidRPr="00F97B87">
              <w:rPr>
                <w:rFonts w:ascii="Times New Roman" w:eastAsia="Times New Roman" w:hAnsi="Times New Roman" w:cs="Times New Roman"/>
                <w:color w:val="000000"/>
                <w:sz w:val="24"/>
                <w:szCs w:val="24"/>
                <w:lang w:eastAsia="lv-LV"/>
              </w:rPr>
              <w:t xml:space="preserve">Latvijā azartspēļu un izložu organizēšanas kārtība ir noteikta Azartspēļu un izložu likumā. Azartspēļu un izložu likuma 42. panta sestā daļa nosaka, ka, ja azartspēļu organizēšana konkrētajā vietā rada būtisku valsts un attiecīgās administratīvās teritorijas iedzīvotāju interešu aizskārumu, pašvaldības dome ar motivētu lēmumu ir tiesīga atcelt izsniegto atļauju atvērt kazino, spēļu zāli, </w:t>
            </w:r>
            <w:proofErr w:type="spellStart"/>
            <w:r w:rsidRPr="00F97B87">
              <w:rPr>
                <w:rFonts w:ascii="Times New Roman" w:eastAsia="Times New Roman" w:hAnsi="Times New Roman" w:cs="Times New Roman"/>
                <w:color w:val="000000"/>
                <w:sz w:val="24"/>
                <w:szCs w:val="24"/>
                <w:lang w:eastAsia="lv-LV"/>
              </w:rPr>
              <w:t>bingo</w:t>
            </w:r>
            <w:proofErr w:type="spellEnd"/>
            <w:r w:rsidRPr="00F97B87">
              <w:rPr>
                <w:rFonts w:ascii="Times New Roman" w:eastAsia="Times New Roman" w:hAnsi="Times New Roman" w:cs="Times New Roman"/>
                <w:color w:val="000000"/>
                <w:sz w:val="24"/>
                <w:szCs w:val="24"/>
                <w:lang w:eastAsia="lv-LV"/>
              </w:rPr>
              <w:t xml:space="preserve"> zāli, </w:t>
            </w:r>
            <w:proofErr w:type="spellStart"/>
            <w:r w:rsidRPr="00F97B87">
              <w:rPr>
                <w:rFonts w:ascii="Times New Roman" w:eastAsia="Times New Roman" w:hAnsi="Times New Roman" w:cs="Times New Roman"/>
                <w:color w:val="000000"/>
                <w:sz w:val="24"/>
                <w:szCs w:val="24"/>
                <w:lang w:eastAsia="lv-LV"/>
              </w:rPr>
              <w:t>totalizatora</w:t>
            </w:r>
            <w:proofErr w:type="spellEnd"/>
            <w:r w:rsidRPr="00F97B87">
              <w:rPr>
                <w:rFonts w:ascii="Times New Roman" w:eastAsia="Times New Roman" w:hAnsi="Times New Roman" w:cs="Times New Roman"/>
                <w:color w:val="000000"/>
                <w:sz w:val="24"/>
                <w:szCs w:val="24"/>
                <w:lang w:eastAsia="lv-LV"/>
              </w:rPr>
              <w:t xml:space="preserve"> vai derību likmju pieņemšanas vietu un organizēt attiecīgās azartspēles konkrētajās telpās.</w:t>
            </w:r>
          </w:p>
          <w:p w14:paraId="69036D10" w14:textId="77777777" w:rsidR="00F97B87" w:rsidRDefault="00A24972" w:rsidP="00313844">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sidRPr="00A24972">
              <w:rPr>
                <w:rFonts w:ascii="Times New Roman" w:eastAsia="Times New Roman" w:hAnsi="Times New Roman" w:cs="Times New Roman"/>
                <w:color w:val="000000"/>
                <w:sz w:val="24"/>
                <w:szCs w:val="24"/>
                <w:lang w:eastAsia="lv-LV"/>
              </w:rPr>
              <w:t xml:space="preserve">2020. gada 1. janvārī ir stājušie spēkā grozījumi likuma "Par izložu un azartspēļu nodevu un nodokli" 12. pantā, kas paredz, ka ienākumi no azartspēļu nodokļa, 95 procentu apmērā ieskaitāmi valsts pamatbudžetā, bet 5 procentu apmērā — tās pašvaldības budžetā, kuras teritorijā tiek organizēta azartspēle. Pirms minētajiem grozījumiem pašvaldības budžetā tika novirzīti 25 procenti no ienākumiem no azartspēļu nodokļa konkrētajā pašvaldības teritorijā. Pašvaldība un tās iedzīvotāji kazino, spēļu zāles, </w:t>
            </w:r>
            <w:proofErr w:type="spellStart"/>
            <w:r w:rsidRPr="00A24972">
              <w:rPr>
                <w:rFonts w:ascii="Times New Roman" w:eastAsia="Times New Roman" w:hAnsi="Times New Roman" w:cs="Times New Roman"/>
                <w:color w:val="000000"/>
                <w:sz w:val="24"/>
                <w:szCs w:val="24"/>
                <w:lang w:eastAsia="lv-LV"/>
              </w:rPr>
              <w:t>bingo</w:t>
            </w:r>
            <w:proofErr w:type="spellEnd"/>
            <w:r w:rsidRPr="00A24972">
              <w:rPr>
                <w:rFonts w:ascii="Times New Roman" w:eastAsia="Times New Roman" w:hAnsi="Times New Roman" w:cs="Times New Roman"/>
                <w:color w:val="000000"/>
                <w:sz w:val="24"/>
                <w:szCs w:val="24"/>
                <w:lang w:eastAsia="lv-LV"/>
              </w:rPr>
              <w:t xml:space="preserve"> zāles, </w:t>
            </w:r>
            <w:proofErr w:type="spellStart"/>
            <w:r w:rsidRPr="00A24972">
              <w:rPr>
                <w:rFonts w:ascii="Times New Roman" w:eastAsia="Times New Roman" w:hAnsi="Times New Roman" w:cs="Times New Roman"/>
                <w:color w:val="000000"/>
                <w:sz w:val="24"/>
                <w:szCs w:val="24"/>
                <w:lang w:eastAsia="lv-LV"/>
              </w:rPr>
              <w:t>totalizatoru</w:t>
            </w:r>
            <w:proofErr w:type="spellEnd"/>
            <w:r w:rsidRPr="00A24972">
              <w:rPr>
                <w:rFonts w:ascii="Times New Roman" w:eastAsia="Times New Roman" w:hAnsi="Times New Roman" w:cs="Times New Roman"/>
                <w:color w:val="000000"/>
                <w:sz w:val="24"/>
                <w:szCs w:val="24"/>
                <w:lang w:eastAsia="lv-LV"/>
              </w:rPr>
              <w:t xml:space="preserve"> vai derību likmju pieņemšanas vietu (turpmāk – Azartspēles) </w:t>
            </w:r>
            <w:r>
              <w:rPr>
                <w:rFonts w:ascii="Times New Roman" w:eastAsia="Times New Roman" w:hAnsi="Times New Roman" w:cs="Times New Roman"/>
                <w:color w:val="000000"/>
                <w:sz w:val="24"/>
                <w:szCs w:val="24"/>
                <w:lang w:eastAsia="lv-LV"/>
              </w:rPr>
              <w:t>Limbažu</w:t>
            </w:r>
            <w:r w:rsidRPr="00A24972">
              <w:rPr>
                <w:rFonts w:ascii="Times New Roman" w:eastAsia="Times New Roman" w:hAnsi="Times New Roman" w:cs="Times New Roman"/>
                <w:color w:val="000000"/>
                <w:sz w:val="24"/>
                <w:szCs w:val="24"/>
                <w:lang w:eastAsia="lv-LV"/>
              </w:rPr>
              <w:t xml:space="preserve"> pilsētā izraisītās sekas izjūt vistiešākajā veidā, kā piemēram, tiek grauta sabiedrības tikumība, ierobežotas Latvijas Republikas Satversmē noteiktās ikviena tiesības dzīvot labvēlīgā vidē. Līdz minēto grozījumu spēkā stāšanās no azartspēlēm gūtos ienākumus pašvaldība varēja novirzīt šo negatīvo seku mazināšanai un </w:t>
            </w:r>
            <w:r>
              <w:rPr>
                <w:rFonts w:ascii="Times New Roman" w:eastAsia="Times New Roman" w:hAnsi="Times New Roman" w:cs="Times New Roman"/>
                <w:color w:val="000000"/>
                <w:sz w:val="24"/>
                <w:szCs w:val="24"/>
                <w:lang w:eastAsia="lv-LV"/>
              </w:rPr>
              <w:t>Limbažu</w:t>
            </w:r>
            <w:r w:rsidRPr="00A24972">
              <w:rPr>
                <w:rFonts w:ascii="Times New Roman" w:eastAsia="Times New Roman" w:hAnsi="Times New Roman" w:cs="Times New Roman"/>
                <w:color w:val="000000"/>
                <w:sz w:val="24"/>
                <w:szCs w:val="24"/>
                <w:lang w:eastAsia="lv-LV"/>
              </w:rPr>
              <w:t xml:space="preserve"> pilsētas iedzīvotajiem un viesiem lietderīgu mērķu īstenošanai, tajā skaitā pozitīva pilsētas tēla veidošanā. Ar minētajiem </w:t>
            </w:r>
            <w:r w:rsidRPr="00A24972">
              <w:rPr>
                <w:rFonts w:ascii="Times New Roman" w:eastAsia="Times New Roman" w:hAnsi="Times New Roman" w:cs="Times New Roman"/>
                <w:color w:val="000000"/>
                <w:sz w:val="24"/>
                <w:szCs w:val="24"/>
                <w:lang w:eastAsia="lv-LV"/>
              </w:rPr>
              <w:lastRenderedPageBreak/>
              <w:t xml:space="preserve">grozījumiem </w:t>
            </w:r>
            <w:r>
              <w:rPr>
                <w:rFonts w:ascii="Times New Roman" w:eastAsia="Times New Roman" w:hAnsi="Times New Roman" w:cs="Times New Roman"/>
                <w:color w:val="000000"/>
                <w:sz w:val="24"/>
                <w:szCs w:val="24"/>
                <w:lang w:eastAsia="lv-LV"/>
              </w:rPr>
              <w:t>pašvaldība</w:t>
            </w:r>
            <w:r w:rsidRPr="00A24972">
              <w:rPr>
                <w:rFonts w:ascii="Times New Roman" w:eastAsia="Times New Roman" w:hAnsi="Times New Roman" w:cs="Times New Roman"/>
                <w:color w:val="000000"/>
                <w:sz w:val="24"/>
                <w:szCs w:val="24"/>
                <w:lang w:eastAsia="lv-LV"/>
              </w:rPr>
              <w:t xml:space="preserve"> ti</w:t>
            </w:r>
            <w:r>
              <w:rPr>
                <w:rFonts w:ascii="Times New Roman" w:eastAsia="Times New Roman" w:hAnsi="Times New Roman" w:cs="Times New Roman"/>
                <w:color w:val="000000"/>
                <w:sz w:val="24"/>
                <w:szCs w:val="24"/>
                <w:lang w:eastAsia="lv-LV"/>
              </w:rPr>
              <w:t>ek</w:t>
            </w:r>
            <w:r w:rsidRPr="00A24972">
              <w:rPr>
                <w:rFonts w:ascii="Times New Roman" w:eastAsia="Times New Roman" w:hAnsi="Times New Roman" w:cs="Times New Roman"/>
                <w:color w:val="000000"/>
                <w:sz w:val="24"/>
                <w:szCs w:val="24"/>
                <w:lang w:eastAsia="lv-LV"/>
              </w:rPr>
              <w:t xml:space="preserve"> nostādīta situācijā, kurā tiek būtiski samazināti no Azartspēlēm gūtie ienākumi, tomēr nekādā veidā netiek mainīts apstāklis, ka pašvaldība un tās iedzīvotāji ir tie, kas vistiešākajā veidā izjūt Azartspēļu organizēšanas vietu sekas.</w:t>
            </w:r>
          </w:p>
          <w:p w14:paraId="573C4C2F" w14:textId="77777777" w:rsidR="00A24972" w:rsidRDefault="00A24972" w:rsidP="00313844">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sidRPr="00A24972">
              <w:rPr>
                <w:rFonts w:ascii="Times New Roman" w:eastAsia="Times New Roman" w:hAnsi="Times New Roman" w:cs="Times New Roman"/>
                <w:color w:val="000000"/>
                <w:sz w:val="24"/>
                <w:szCs w:val="24"/>
                <w:lang w:eastAsia="lv-LV"/>
              </w:rPr>
              <w:t xml:space="preserve">Saskaņā ar likuma “Par pašvaldībām” 15. panta pirmās daļas 2., 5.,6., 12. un 23. punktu pašvaldību autonomajās funkcijās ietilpst gādāt par savas administratīvās teritorijas labiekārtošanu un sanitāro tīrību (ielu, ceļu un laukumu būvniecība, rekonstruēšana un uzturēšana; ielu, laukumu un citu publiskai lietošanai paredzēto teritoriju apgaismošana; parku, skvēru un zaļo zonu ierīkošana un uzturēšana; atkritumu savākšanas un izvešanas kontrole; </w:t>
            </w:r>
            <w:proofErr w:type="spellStart"/>
            <w:r w:rsidRPr="00A24972">
              <w:rPr>
                <w:rFonts w:ascii="Times New Roman" w:eastAsia="Times New Roman" w:hAnsi="Times New Roman" w:cs="Times New Roman"/>
                <w:color w:val="000000"/>
                <w:sz w:val="24"/>
                <w:szCs w:val="24"/>
                <w:lang w:eastAsia="lv-LV"/>
              </w:rPr>
              <w:t>pretplūdu</w:t>
            </w:r>
            <w:proofErr w:type="spellEnd"/>
            <w:r w:rsidRPr="00A24972">
              <w:rPr>
                <w:rFonts w:ascii="Times New Roman" w:eastAsia="Times New Roman" w:hAnsi="Times New Roman" w:cs="Times New Roman"/>
                <w:color w:val="000000"/>
                <w:sz w:val="24"/>
                <w:szCs w:val="24"/>
                <w:lang w:eastAsia="lv-LV"/>
              </w:rPr>
              <w:t xml:space="preserve"> pasākumi; kapsētu un beigto dzīvnieku apbedīšanas vietu izveidošana un uzturēšana); rūpēties par kultūru un sekmēt tradicionālo kultūras vērtību saglabāšanu un tautas jaunrades attīstību (organizatoriska un finansiāla palīdzība kultūras iestādēm un pasākumiem, atbalsts kultūras pieminekļu saglabāšanai u.c.); veicināt iedzīvotāju veselīgu dzīvesveidu un sportu; piedalīties sabiedriskās kārtības nodrošināšanā, apkarot žūpību un netiklību; īstenot bērnu tiesību aizsardzību attiecīgajā administratīvajā teritorijā.</w:t>
            </w:r>
          </w:p>
          <w:p w14:paraId="02A39840" w14:textId="77777777" w:rsidR="00A24972" w:rsidRDefault="00A24972" w:rsidP="00313844">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sidRPr="00A24972">
              <w:rPr>
                <w:rFonts w:ascii="Times New Roman" w:eastAsia="Times New Roman" w:hAnsi="Times New Roman" w:cs="Times New Roman"/>
                <w:color w:val="000000"/>
                <w:sz w:val="24"/>
                <w:szCs w:val="24"/>
                <w:lang w:eastAsia="lv-LV"/>
              </w:rPr>
              <w:t>Saskaņā ar likuma “Par pašvaldībām” 14.panta trešo daļu un 41.panta otro daļu pašvaldībām savu funkciju izpildes nodrošināšanai ir tiesības izdot saistošos noteikumus, kuriem jāatbilst Satversmei, šim likumam, citiem likumiem un Ministru kabineta noteikumiem.</w:t>
            </w:r>
          </w:p>
          <w:p w14:paraId="507B23AA" w14:textId="77777777" w:rsidR="00A24972" w:rsidRDefault="003B1668" w:rsidP="00313844">
            <w:pPr>
              <w:spacing w:before="100" w:beforeAutospacing="1" w:after="100" w:afterAutospacing="1" w:line="240" w:lineRule="auto"/>
              <w:jc w:val="both"/>
              <w:rPr>
                <w:rFonts w:ascii="RobustaTLPro-Regular" w:hAnsi="RobustaTLPro-Regular"/>
                <w:color w:val="212529"/>
                <w:sz w:val="23"/>
                <w:szCs w:val="23"/>
                <w:shd w:val="clear" w:color="auto" w:fill="FFFFFF"/>
              </w:rPr>
            </w:pPr>
            <w:r w:rsidRPr="00755EB2">
              <w:rPr>
                <w:rFonts w:ascii="Times New Roman" w:eastAsia="Times New Roman" w:hAnsi="Times New Roman" w:cs="Times New Roman"/>
                <w:color w:val="000000"/>
                <w:sz w:val="24"/>
                <w:szCs w:val="24"/>
                <w:lang w:eastAsia="lv-LV"/>
              </w:rPr>
              <w:t xml:space="preserve">Atbilstoši </w:t>
            </w:r>
            <w:r w:rsidRPr="00755EB2">
              <w:rPr>
                <w:rFonts w:ascii="Times New Roman" w:hAnsi="Times New Roman" w:cs="Times New Roman"/>
                <w:color w:val="212529"/>
                <w:sz w:val="24"/>
                <w:szCs w:val="24"/>
                <w:shd w:val="clear" w:color="auto" w:fill="FFFFFF"/>
              </w:rPr>
              <w:t>Limbažu novada pašvaldība 2013. gada 28.novembra lēmumam (domes sēdes protokols Nr. 21, 30.§) par „Limbažu novada Ilgtspējīgas attīstības stratēģijas 2013.-2030.gadam apstiprināšanu” ir apstiprināta Limbažu novada Ilgtspējīgas attīstības stratēģijas 2013.-2030.gadam. Ilgtspējīgas attīstības stratēģiskais mērķis paredz atbalstīt un veicināt novada iedzīvotāju daudzpusīgas izaugsmes iespējas un labklājības celšanu.</w:t>
            </w:r>
            <w:r w:rsidR="006223EF" w:rsidRPr="00755EB2">
              <w:rPr>
                <w:rFonts w:ascii="Times New Roman" w:hAnsi="Times New Roman" w:cs="Times New Roman"/>
                <w:color w:val="212529"/>
                <w:sz w:val="24"/>
                <w:szCs w:val="24"/>
                <w:shd w:val="clear" w:color="auto" w:fill="FFFFFF"/>
              </w:rPr>
              <w:t xml:space="preserve"> Stratēģiskais mērķis izvirzīts, lai nodrošinātu dzīves un darba</w:t>
            </w:r>
            <w:r w:rsidR="006223EF" w:rsidRPr="00755EB2">
              <w:rPr>
                <w:rFonts w:ascii="Times New Roman" w:hAnsi="Times New Roman" w:cs="Times New Roman"/>
                <w:color w:val="212529"/>
                <w:sz w:val="23"/>
                <w:szCs w:val="23"/>
                <w:shd w:val="clear" w:color="auto" w:fill="FFFFFF"/>
              </w:rPr>
              <w:t xml:space="preserve"> </w:t>
            </w:r>
            <w:r w:rsidR="006223EF" w:rsidRPr="00755EB2">
              <w:rPr>
                <w:rFonts w:ascii="Times New Roman" w:hAnsi="Times New Roman" w:cs="Times New Roman"/>
                <w:color w:val="212529"/>
                <w:sz w:val="24"/>
                <w:szCs w:val="24"/>
                <w:shd w:val="clear" w:color="auto" w:fill="FFFFFF"/>
              </w:rPr>
              <w:t>vides</w:t>
            </w:r>
            <w:r w:rsidR="006223EF" w:rsidRPr="00755EB2">
              <w:rPr>
                <w:rFonts w:ascii="RobustaTLPro-Regular" w:hAnsi="RobustaTLPro-Regular"/>
                <w:color w:val="212529"/>
                <w:sz w:val="24"/>
                <w:szCs w:val="24"/>
                <w:shd w:val="clear" w:color="auto" w:fill="FFFFFF"/>
              </w:rPr>
              <w:t xml:space="preserve"> </w:t>
            </w:r>
            <w:r w:rsidR="006223EF" w:rsidRPr="00755EB2">
              <w:rPr>
                <w:rFonts w:ascii="Times New Roman" w:hAnsi="Times New Roman" w:cs="Times New Roman"/>
                <w:color w:val="212529"/>
                <w:sz w:val="24"/>
                <w:szCs w:val="24"/>
                <w:shd w:val="clear" w:color="auto" w:fill="FFFFFF"/>
              </w:rPr>
              <w:t>uzlabošanu, tādejādi</w:t>
            </w:r>
            <w:r w:rsidR="006223EF" w:rsidRPr="00755EB2">
              <w:rPr>
                <w:rFonts w:ascii="Times New Roman" w:hAnsi="Times New Roman" w:cs="Times New Roman"/>
                <w:color w:val="212529"/>
                <w:sz w:val="23"/>
                <w:szCs w:val="23"/>
                <w:shd w:val="clear" w:color="auto" w:fill="FFFFFF"/>
              </w:rPr>
              <w:t xml:space="preserve"> </w:t>
            </w:r>
            <w:r w:rsidR="006223EF" w:rsidRPr="00755EB2">
              <w:rPr>
                <w:rFonts w:ascii="Times New Roman" w:hAnsi="Times New Roman" w:cs="Times New Roman"/>
                <w:color w:val="212529"/>
                <w:sz w:val="23"/>
                <w:szCs w:val="23"/>
                <w:shd w:val="clear" w:color="auto" w:fill="FFFFFF"/>
              </w:rPr>
              <w:lastRenderedPageBreak/>
              <w:t>nodrošinot</w:t>
            </w:r>
            <w:r w:rsidR="006223EF" w:rsidRPr="006223EF">
              <w:rPr>
                <w:rFonts w:ascii="RobustaTLPro-Regular" w:hAnsi="RobustaTLPro-Regular"/>
                <w:color w:val="212529"/>
                <w:sz w:val="23"/>
                <w:szCs w:val="23"/>
                <w:shd w:val="clear" w:color="auto" w:fill="FFFFFF"/>
              </w:rPr>
              <w:t xml:space="preserve"> kvalitatīvu dzīves vidi arī nākamajām paaudzēm. </w:t>
            </w:r>
          </w:p>
          <w:p w14:paraId="5969B192" w14:textId="77777777" w:rsidR="006223EF" w:rsidRDefault="006223EF" w:rsidP="00313844">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Limbažu novada pašvaldība laika periodā no 04.10.2021. līdz 13.10.2021. veica izdzīvotāju aptauju, lai</w:t>
            </w:r>
            <w:r w:rsidRPr="006223EF">
              <w:t xml:space="preserve"> </w:t>
            </w:r>
            <w:r w:rsidRPr="006223EF">
              <w:rPr>
                <w:rFonts w:ascii="Times New Roman" w:eastAsia="Times New Roman" w:hAnsi="Times New Roman" w:cs="Times New Roman"/>
                <w:color w:val="000000"/>
                <w:sz w:val="24"/>
                <w:szCs w:val="24"/>
                <w:lang w:eastAsia="lv-LV"/>
              </w:rPr>
              <w:t>noskaidrotu Limbažu novada pašvaldības iedzīvotāju viedokli - vai pašvaldības saistošajos noteikumos būtu nosakāmas vietas vai teritorijas, kurās nav atļauts organizēt azartspēles (izveidot azartspēļu zāles).</w:t>
            </w:r>
          </w:p>
          <w:p w14:paraId="3E7CFCFA" w14:textId="6EB6C7CF" w:rsidR="006223EF" w:rsidRDefault="006223EF" w:rsidP="00313844">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sidRPr="006223EF">
              <w:rPr>
                <w:rFonts w:ascii="Times New Roman" w:eastAsia="Times New Roman" w:hAnsi="Times New Roman" w:cs="Times New Roman"/>
                <w:color w:val="000000"/>
                <w:sz w:val="24"/>
                <w:szCs w:val="24"/>
                <w:lang w:eastAsia="lv-LV"/>
              </w:rPr>
              <w:t xml:space="preserve">Saskaņā ar aptaujas rezultātiem </w:t>
            </w:r>
            <w:r>
              <w:rPr>
                <w:rFonts w:ascii="Times New Roman" w:eastAsia="Times New Roman" w:hAnsi="Times New Roman" w:cs="Times New Roman"/>
                <w:color w:val="000000"/>
                <w:sz w:val="24"/>
                <w:szCs w:val="24"/>
                <w:lang w:eastAsia="lv-LV"/>
              </w:rPr>
              <w:t>aptaujā piedalījās 775 respondenti.</w:t>
            </w:r>
            <w:r w:rsidRPr="006223EF">
              <w:rPr>
                <w:rFonts w:ascii="Times New Roman" w:eastAsia="Times New Roman" w:hAnsi="Times New Roman" w:cs="Times New Roman"/>
                <w:color w:val="000000"/>
                <w:sz w:val="24"/>
                <w:szCs w:val="24"/>
                <w:lang w:eastAsia="lv-LV"/>
              </w:rPr>
              <w:t xml:space="preserve"> No pau</w:t>
            </w:r>
            <w:r w:rsidR="00755EB2">
              <w:rPr>
                <w:rFonts w:ascii="Times New Roman" w:eastAsia="Times New Roman" w:hAnsi="Times New Roman" w:cs="Times New Roman"/>
                <w:color w:val="000000"/>
                <w:sz w:val="24"/>
                <w:szCs w:val="24"/>
                <w:lang w:eastAsia="lv-LV"/>
              </w:rPr>
              <w:t>stā</w:t>
            </w:r>
            <w:r w:rsidRPr="006223EF">
              <w:rPr>
                <w:rFonts w:ascii="Times New Roman" w:eastAsia="Times New Roman" w:hAnsi="Times New Roman" w:cs="Times New Roman"/>
                <w:color w:val="000000"/>
                <w:sz w:val="24"/>
                <w:szCs w:val="24"/>
                <w:lang w:eastAsia="lv-LV"/>
              </w:rPr>
              <w:t xml:space="preserve"> </w:t>
            </w:r>
            <w:r w:rsidR="00755EB2" w:rsidRPr="006223EF">
              <w:rPr>
                <w:rFonts w:ascii="Times New Roman" w:eastAsia="Times New Roman" w:hAnsi="Times New Roman" w:cs="Times New Roman"/>
                <w:color w:val="000000"/>
                <w:sz w:val="24"/>
                <w:szCs w:val="24"/>
                <w:lang w:eastAsia="lv-LV"/>
              </w:rPr>
              <w:t>viedokļ</w:t>
            </w:r>
            <w:r w:rsidR="00755EB2">
              <w:rPr>
                <w:rFonts w:ascii="Times New Roman" w:eastAsia="Times New Roman" w:hAnsi="Times New Roman" w:cs="Times New Roman"/>
                <w:color w:val="000000"/>
                <w:sz w:val="24"/>
                <w:szCs w:val="24"/>
                <w:lang w:eastAsia="lv-LV"/>
              </w:rPr>
              <w:t>a secināms</w:t>
            </w:r>
            <w:r w:rsidR="008E05D5">
              <w:rPr>
                <w:rFonts w:ascii="Times New Roman" w:eastAsia="Times New Roman" w:hAnsi="Times New Roman" w:cs="Times New Roman"/>
                <w:color w:val="000000"/>
                <w:sz w:val="24"/>
                <w:szCs w:val="24"/>
                <w:lang w:eastAsia="lv-LV"/>
              </w:rPr>
              <w:t>, ka Limbažu novadā būtu jāaizliedz azartspēlēs – 80,3%</w:t>
            </w:r>
            <w:r w:rsidR="00755EB2">
              <w:rPr>
                <w:rFonts w:ascii="Times New Roman" w:eastAsia="Times New Roman" w:hAnsi="Times New Roman" w:cs="Times New Roman"/>
                <w:color w:val="000000"/>
                <w:sz w:val="24"/>
                <w:szCs w:val="24"/>
                <w:lang w:eastAsia="lv-LV"/>
              </w:rPr>
              <w:t xml:space="preserve"> no aptaujātiem uzskata</w:t>
            </w:r>
            <w:r w:rsidR="008E05D5">
              <w:rPr>
                <w:rFonts w:ascii="Times New Roman" w:eastAsia="Times New Roman" w:hAnsi="Times New Roman" w:cs="Times New Roman"/>
                <w:color w:val="000000"/>
                <w:sz w:val="24"/>
                <w:szCs w:val="24"/>
                <w:lang w:eastAsia="lv-LV"/>
              </w:rPr>
              <w:t xml:space="preserve">, savukārt atļaut azartspēles - 19,7% </w:t>
            </w:r>
            <w:r w:rsidR="00755EB2">
              <w:rPr>
                <w:rFonts w:ascii="Times New Roman" w:eastAsia="Times New Roman" w:hAnsi="Times New Roman" w:cs="Times New Roman"/>
                <w:color w:val="000000"/>
                <w:sz w:val="24"/>
                <w:szCs w:val="24"/>
                <w:lang w:eastAsia="lv-LV"/>
              </w:rPr>
              <w:t>no aptaujātiem uzskata</w:t>
            </w:r>
            <w:r w:rsidR="008E05D5">
              <w:rPr>
                <w:rFonts w:ascii="Times New Roman" w:eastAsia="Times New Roman" w:hAnsi="Times New Roman" w:cs="Times New Roman"/>
                <w:color w:val="000000"/>
                <w:sz w:val="24"/>
                <w:szCs w:val="24"/>
                <w:lang w:eastAsia="lv-LV"/>
              </w:rPr>
              <w:t>.</w:t>
            </w:r>
          </w:p>
          <w:p w14:paraId="114D31F9" w14:textId="2EA2F977" w:rsidR="008E05D5" w:rsidRDefault="008E05D5" w:rsidP="00313844">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sidRPr="008E05D5">
              <w:rPr>
                <w:rFonts w:ascii="Times New Roman" w:eastAsia="Times New Roman" w:hAnsi="Times New Roman" w:cs="Times New Roman"/>
                <w:color w:val="000000"/>
                <w:sz w:val="24"/>
                <w:szCs w:val="24"/>
                <w:lang w:eastAsia="lv-LV"/>
              </w:rPr>
              <w:t>Papildus aptaujā iedzīvotājiem tika vaicāts</w:t>
            </w:r>
            <w:r w:rsidR="00755EB2">
              <w:rPr>
                <w:rFonts w:ascii="Times New Roman" w:eastAsia="Times New Roman" w:hAnsi="Times New Roman" w:cs="Times New Roman"/>
                <w:color w:val="000000"/>
                <w:sz w:val="24"/>
                <w:szCs w:val="24"/>
                <w:lang w:eastAsia="lv-LV"/>
              </w:rPr>
              <w:t xml:space="preserve"> izteikt</w:t>
            </w:r>
            <w:r w:rsidRPr="008E05D5">
              <w:rPr>
                <w:rFonts w:ascii="Times New Roman" w:eastAsia="Times New Roman" w:hAnsi="Times New Roman" w:cs="Times New Roman"/>
                <w:color w:val="000000"/>
                <w:sz w:val="24"/>
                <w:szCs w:val="24"/>
                <w:lang w:eastAsia="lv-LV"/>
              </w:rPr>
              <w:t xml:space="preserve"> viedokli</w:t>
            </w:r>
            <w:r>
              <w:rPr>
                <w:rFonts w:ascii="Times New Roman" w:eastAsia="Times New Roman" w:hAnsi="Times New Roman" w:cs="Times New Roman"/>
                <w:color w:val="000000"/>
                <w:sz w:val="24"/>
                <w:szCs w:val="24"/>
                <w:lang w:eastAsia="lv-LV"/>
              </w:rPr>
              <w:t xml:space="preserve"> kur šāda veida uzņēmējdarbība būtu atļaujama? Aptaujātie uzskata, ka šāda uzņēmējdarbība būtu atļaujama – </w:t>
            </w:r>
          </w:p>
          <w:p w14:paraId="277275B4" w14:textId="62D59C95" w:rsidR="008E05D5" w:rsidRDefault="008E05D5" w:rsidP="00313844">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Pr>
                <w:noProof/>
                <w:lang w:eastAsia="lv-LV"/>
              </w:rPr>
              <w:drawing>
                <wp:inline distT="0" distB="0" distL="0" distR="0" wp14:anchorId="37E4ED00" wp14:editId="6464EFEA">
                  <wp:extent cx="2843530" cy="1165225"/>
                  <wp:effectExtent l="0" t="0" r="0" b="0"/>
                  <wp:docPr id="8" name="Attēls 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9B6F2B50-A72E-4288-885F-C1CE73E8CA3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ttēls 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9B6F2B50-A72E-4288-885F-C1CE73E8CA3D}"/>
                              </a:ext>
                            </a:extLst>
                          </pic:cNvPr>
                          <pic:cNvPicPr>
                            <a:picLocks noChangeAspect="1"/>
                          </pic:cNvPicPr>
                        </pic:nvPicPr>
                        <pic:blipFill rotWithShape="1">
                          <a:blip r:embed="rId8"/>
                          <a:srcRect l="25121" t="39482" r="27622" b="26084"/>
                          <a:stretch/>
                        </pic:blipFill>
                        <pic:spPr>
                          <a:xfrm>
                            <a:off x="0" y="0"/>
                            <a:ext cx="2843530" cy="1165225"/>
                          </a:xfrm>
                          <a:prstGeom prst="rect">
                            <a:avLst/>
                          </a:prstGeom>
                        </pic:spPr>
                      </pic:pic>
                    </a:graphicData>
                  </a:graphic>
                </wp:inline>
              </w:drawing>
            </w:r>
          </w:p>
          <w:p w14:paraId="0B3F37D6" w14:textId="3AD0CD3C" w:rsidR="00E32855" w:rsidRDefault="00E32855" w:rsidP="00E32855">
            <w:pPr>
              <w:pStyle w:val="Default"/>
              <w:jc w:val="both"/>
              <w:rPr>
                <w:sz w:val="23"/>
                <w:szCs w:val="23"/>
              </w:rPr>
            </w:pPr>
            <w:r>
              <w:rPr>
                <w:sz w:val="23"/>
                <w:szCs w:val="23"/>
              </w:rPr>
              <w:t xml:space="preserve">Uz azartspēļu riskiem un iespējamo nelabvēlīgo ietekmi uz indivīdu un sabiedrību kopumā norāda arī Satversmes lietā Nr. 2018-17-03 (spriedums </w:t>
            </w:r>
            <w:hyperlink r:id="rId9" w:anchor="search=" w:history="1">
              <w:r w:rsidRPr="00262ADD">
                <w:rPr>
                  <w:rStyle w:val="Hipersaite"/>
                  <w:sz w:val="23"/>
                  <w:szCs w:val="23"/>
                </w:rPr>
                <w:t>https://www.satv.tiesa.gov.lv/web/viewer.html?file=/wp-content/uploads/2018/08/2018-17-03_Spriedums.pdf#search=</w:t>
              </w:r>
            </w:hyperlink>
            <w:r w:rsidRPr="00E32855">
              <w:rPr>
                <w:sz w:val="23"/>
                <w:szCs w:val="23"/>
              </w:rPr>
              <w:t>)</w:t>
            </w:r>
            <w:r>
              <w:rPr>
                <w:sz w:val="23"/>
                <w:szCs w:val="23"/>
              </w:rPr>
              <w:t xml:space="preserve"> </w:t>
            </w:r>
            <w:r w:rsidRPr="00E32855">
              <w:rPr>
                <w:sz w:val="23"/>
                <w:szCs w:val="23"/>
              </w:rPr>
              <w:t xml:space="preserve">pieaicinātās personas: Latvijas Universitātes </w:t>
            </w:r>
            <w:proofErr w:type="spellStart"/>
            <w:r w:rsidRPr="00E32855">
              <w:rPr>
                <w:sz w:val="23"/>
                <w:szCs w:val="23"/>
              </w:rPr>
              <w:t>emeritētā</w:t>
            </w:r>
            <w:proofErr w:type="spellEnd"/>
            <w:r w:rsidRPr="00E32855">
              <w:rPr>
                <w:sz w:val="23"/>
                <w:szCs w:val="23"/>
              </w:rPr>
              <w:t xml:space="preserve"> profesore Dr.phil. Skaidrīte Lasmane izsaka viedokli, ka azartspēļu nozares piedāvātā izklaide un komercdarbība ir riskanta, sociālo un morālo vidi degradējoša, saistīta azartspēļu atkarības risku, kā arī rada materiāla un nemateriāla zaudējuma risku pašam spēlētājam, viņa ģimenei, valstij un sabiedrībai kopumā. Savukārt Rīgas Stradiņa universitātes Psihosomatiskās medicīnas un psihoterapijas katedras docents psihiatrs un psihoterapeits </w:t>
            </w:r>
            <w:proofErr w:type="spellStart"/>
            <w:r w:rsidRPr="00E32855">
              <w:rPr>
                <w:sz w:val="23"/>
                <w:szCs w:val="23"/>
              </w:rPr>
              <w:t>Dr.med.A.Utināns</w:t>
            </w:r>
            <w:proofErr w:type="spellEnd"/>
            <w:r w:rsidRPr="00E32855">
              <w:rPr>
                <w:sz w:val="23"/>
                <w:szCs w:val="23"/>
              </w:rPr>
              <w:t xml:space="preserve"> norāda, ka azartspēļu atkarība ir psihisks stāvoklis, kura attīstību veicina azartspēļu vietas pieejamība, ka azartspēļu </w:t>
            </w:r>
            <w:r w:rsidRPr="00E32855">
              <w:rPr>
                <w:sz w:val="23"/>
                <w:szCs w:val="23"/>
              </w:rPr>
              <w:lastRenderedPageBreak/>
              <w:t xml:space="preserve">atkarības ārstēšana ir sarežģīta, bieži vien </w:t>
            </w:r>
            <w:proofErr w:type="spellStart"/>
            <w:r w:rsidRPr="00E32855">
              <w:rPr>
                <w:sz w:val="23"/>
                <w:szCs w:val="23"/>
              </w:rPr>
              <w:t>bezrezultatīva</w:t>
            </w:r>
            <w:proofErr w:type="spellEnd"/>
            <w:r w:rsidRPr="00E32855">
              <w:rPr>
                <w:sz w:val="23"/>
                <w:szCs w:val="23"/>
              </w:rPr>
              <w:t>, turklāt tās izmaksas gulstas uz ģimenes vai sabiedrības pleciem. Ņemot vērā azartspēļu un izložu nozares specifiku, piedalīšanās azartspēlēs vai izlozēs atšķirībā no citiem brīvā laika pavadīšanas un izklaides veidiem var kļūt nekontrolējama un pāriet nepārvaramā un pārmērīgā tieksmē spēlēt azartspēles vai piedalīties izlozēs, kas ir definējams kā viens no atkarības veidiem.</w:t>
            </w:r>
          </w:p>
          <w:p w14:paraId="260CEDE2" w14:textId="6AD67DCF" w:rsidR="008E05D5" w:rsidRDefault="00E32855" w:rsidP="00313844">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sidRPr="00E32855">
              <w:rPr>
                <w:rFonts w:ascii="Times New Roman" w:eastAsia="Times New Roman" w:hAnsi="Times New Roman" w:cs="Times New Roman"/>
                <w:color w:val="000000"/>
                <w:sz w:val="24"/>
                <w:szCs w:val="24"/>
                <w:lang w:eastAsia="lv-LV"/>
              </w:rPr>
              <w:t xml:space="preserve">Ir zinātniski pierādīts, ka azartspēļu atkarība izraisa nelabvēlīgas sekas gan indivīda, gan ģimenes, gan kopienas, gan sabiedrības līmenī. Tipiskākās seku grupas ir šādas: - kaitējums psihiskajai veselībai (depresija, trauksme, personības traucējumi, vielu atkarības u.c.); - nelabvēlīga ietekme uz fizisko veselību (sirds un asinsvadu sistēmas jeb </w:t>
            </w:r>
            <w:proofErr w:type="spellStart"/>
            <w:r w:rsidRPr="00E32855">
              <w:rPr>
                <w:rFonts w:ascii="Times New Roman" w:eastAsia="Times New Roman" w:hAnsi="Times New Roman" w:cs="Times New Roman"/>
                <w:color w:val="000000"/>
                <w:sz w:val="24"/>
                <w:szCs w:val="24"/>
                <w:lang w:eastAsia="lv-LV"/>
              </w:rPr>
              <w:t>kardioloģiski</w:t>
            </w:r>
            <w:proofErr w:type="spellEnd"/>
            <w:r w:rsidRPr="00E32855">
              <w:rPr>
                <w:rFonts w:ascii="Times New Roman" w:eastAsia="Times New Roman" w:hAnsi="Times New Roman" w:cs="Times New Roman"/>
                <w:color w:val="000000"/>
                <w:sz w:val="24"/>
                <w:szCs w:val="24"/>
                <w:lang w:eastAsia="lv-LV"/>
              </w:rPr>
              <w:t xml:space="preserve"> traucējumi, imūnās sistēmas traucējumi u.c.); - attiecību un ģimenes disfunkcija; - finansiālas problēmas; - problēmas ar nodarbinātību / darbu / studijām / mācībām; - likumpārkāpumi. (sk. Azartspēļu politikas pamatnostādnes 7. </w:t>
            </w:r>
            <w:proofErr w:type="spellStart"/>
            <w:r w:rsidRPr="00E32855">
              <w:rPr>
                <w:rFonts w:ascii="Times New Roman" w:eastAsia="Times New Roman" w:hAnsi="Times New Roman" w:cs="Times New Roman"/>
                <w:color w:val="000000"/>
                <w:sz w:val="24"/>
                <w:szCs w:val="24"/>
                <w:lang w:eastAsia="lv-LV"/>
              </w:rPr>
              <w:t>lpp</w:t>
            </w:r>
            <w:proofErr w:type="spellEnd"/>
            <w:r w:rsidRPr="00E32855">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color w:val="000000"/>
                <w:sz w:val="24"/>
                <w:szCs w:val="24"/>
                <w:lang w:eastAsia="lv-LV"/>
              </w:rPr>
              <w:t>.</w:t>
            </w:r>
          </w:p>
          <w:p w14:paraId="41A554A0" w14:textId="5173CC02" w:rsidR="00E32855" w:rsidRDefault="00E32855" w:rsidP="00313844">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sidRPr="00E32855">
              <w:rPr>
                <w:rFonts w:ascii="Times New Roman" w:eastAsia="Times New Roman" w:hAnsi="Times New Roman" w:cs="Times New Roman"/>
                <w:color w:val="000000"/>
                <w:sz w:val="24"/>
                <w:szCs w:val="24"/>
                <w:lang w:eastAsia="lv-LV"/>
              </w:rPr>
              <w:t xml:space="preserve">Azartspēļu riska faktori ir arī netiešie vides faktori, piemēram, augsta azartspēļu pieejamība. Saskaņā ar pētījumu datiem spēļu zāļu vai kazino pieejamības lokalizācijas ierobežošana ir viens no līdzekļiem azartspēļu problemātisku spēlēšanas paradumu ierobežošanā. Vienlaikus pētījumi ir apliecinājuši, ka azartspēļu norises vietu attālumam līdz iedzīvotāju dzīves vietai ir statistiski nozīmīga saikne ar paredzamo problemātisko paradumu izplatību pieaugušo populācijā. Iedzīvotājiem, kuri dzīvo 16 km rādiusā no spēļu zālēm vai kazino, pastāv divas reizes augstāks problemātisku spēlēšanas paradumu attīstības risks nekā iedzīvotājiem, kuri dzīvo lielākā attālumā. Šis risks visaugstākais ir 30 gadus vecu, kā arī vecāku iedzīvotāju vidū. Arī attiecībā uz citiem azartspēļu veidiem šāda saikne ir konstatēta, proti iedzīvotājiem, kuri dzīvo tuvāk nekā 0,7 km no jebkādas azartspēļu norises vietas, ir 2,05 reizes lielāks problemātisku paradumu attīstības risks nekā iedzīvotājiem, kuri dzīvo vairāk nekā 3 km attālumā. Ņemot vērā, ka risks, ka iedzīvotāji spēlēs azartspēles un ka viņiem izveidosies problemātiski spēlēšanas </w:t>
            </w:r>
            <w:r w:rsidRPr="00E32855">
              <w:rPr>
                <w:rFonts w:ascii="Times New Roman" w:eastAsia="Times New Roman" w:hAnsi="Times New Roman" w:cs="Times New Roman"/>
                <w:color w:val="000000"/>
                <w:sz w:val="24"/>
                <w:szCs w:val="24"/>
                <w:lang w:eastAsia="lv-LV"/>
              </w:rPr>
              <w:lastRenderedPageBreak/>
              <w:t>paradumi, ievērojami palielinās, ja dzīvesvietas tuvumā atrodas spēļu zāle vai kazino, tad šādu azartspēļu vietu ierobežošana</w:t>
            </w:r>
            <w:r>
              <w:t xml:space="preserve"> </w:t>
            </w:r>
            <w:r w:rsidRPr="00E32855">
              <w:rPr>
                <w:rFonts w:ascii="Times New Roman" w:eastAsia="Times New Roman" w:hAnsi="Times New Roman" w:cs="Times New Roman"/>
                <w:color w:val="000000"/>
                <w:sz w:val="24"/>
                <w:szCs w:val="24"/>
                <w:lang w:eastAsia="lv-LV"/>
              </w:rPr>
              <w:t xml:space="preserve">ir visbūtiskākā teritorijās, kurās ir liels iedzīvotāju blīvums.(sk. Azartspēļu politikas pamatnostādnes 51.un 52 </w:t>
            </w:r>
            <w:proofErr w:type="spellStart"/>
            <w:r w:rsidRPr="00E32855">
              <w:rPr>
                <w:rFonts w:ascii="Times New Roman" w:eastAsia="Times New Roman" w:hAnsi="Times New Roman" w:cs="Times New Roman"/>
                <w:color w:val="000000"/>
                <w:sz w:val="24"/>
                <w:szCs w:val="24"/>
                <w:lang w:eastAsia="lv-LV"/>
              </w:rPr>
              <w:t>lpp</w:t>
            </w:r>
            <w:proofErr w:type="spellEnd"/>
            <w:r w:rsidRPr="00E32855">
              <w:rPr>
                <w:rFonts w:ascii="Times New Roman" w:eastAsia="Times New Roman" w:hAnsi="Times New Roman" w:cs="Times New Roman"/>
                <w:color w:val="000000"/>
                <w:sz w:val="24"/>
                <w:szCs w:val="24"/>
                <w:lang w:eastAsia="lv-LV"/>
              </w:rPr>
              <w:t>).</w:t>
            </w:r>
          </w:p>
          <w:p w14:paraId="61E1AC9E" w14:textId="0E3FD016" w:rsidR="006B0DE2" w:rsidRPr="006B0DE2" w:rsidRDefault="006B0DE2" w:rsidP="006B0DE2">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Limbaži pilsētā</w:t>
            </w:r>
            <w:r>
              <w:t xml:space="preserve"> </w:t>
            </w:r>
            <w:r w:rsidRPr="006B0DE2">
              <w:rPr>
                <w:rFonts w:ascii="Times New Roman" w:eastAsia="Times New Roman" w:hAnsi="Times New Roman" w:cs="Times New Roman"/>
                <w:color w:val="000000"/>
                <w:sz w:val="24"/>
                <w:szCs w:val="24"/>
                <w:lang w:eastAsia="lv-LV"/>
              </w:rPr>
              <w:t>uz 202</w:t>
            </w:r>
            <w:r>
              <w:rPr>
                <w:rFonts w:ascii="Times New Roman" w:eastAsia="Times New Roman" w:hAnsi="Times New Roman" w:cs="Times New Roman"/>
                <w:color w:val="000000"/>
                <w:sz w:val="24"/>
                <w:szCs w:val="24"/>
                <w:lang w:eastAsia="lv-LV"/>
              </w:rPr>
              <w:t>2</w:t>
            </w:r>
            <w:r w:rsidRPr="006B0DE2">
              <w:rPr>
                <w:rFonts w:ascii="Times New Roman" w:eastAsia="Times New Roman" w:hAnsi="Times New Roman" w:cs="Times New Roman"/>
                <w:color w:val="000000"/>
                <w:sz w:val="24"/>
                <w:szCs w:val="24"/>
                <w:lang w:eastAsia="lv-LV"/>
              </w:rPr>
              <w:t xml:space="preserve">. gada 1. janvārī ir reģistrētas </w:t>
            </w:r>
            <w:r>
              <w:rPr>
                <w:rFonts w:ascii="Times New Roman" w:eastAsia="Times New Roman" w:hAnsi="Times New Roman" w:cs="Times New Roman"/>
                <w:color w:val="000000"/>
                <w:sz w:val="24"/>
                <w:szCs w:val="24"/>
                <w:lang w:eastAsia="lv-LV"/>
              </w:rPr>
              <w:t>2</w:t>
            </w:r>
            <w:r w:rsidRPr="006B0DE2">
              <w:rPr>
                <w:rFonts w:ascii="Times New Roman" w:eastAsia="Times New Roman" w:hAnsi="Times New Roman" w:cs="Times New Roman"/>
                <w:color w:val="000000"/>
                <w:sz w:val="24"/>
                <w:szCs w:val="24"/>
                <w:lang w:eastAsia="lv-LV"/>
              </w:rPr>
              <w:t xml:space="preserve"> spēļu zāles ar spēļu automātu iekārtām</w:t>
            </w:r>
            <w:r>
              <w:rPr>
                <w:rFonts w:ascii="Times New Roman" w:eastAsia="Times New Roman" w:hAnsi="Times New Roman" w:cs="Times New Roman"/>
                <w:color w:val="000000"/>
                <w:sz w:val="24"/>
                <w:szCs w:val="24"/>
                <w:lang w:eastAsia="lv-LV"/>
              </w:rPr>
              <w:t>.</w:t>
            </w:r>
            <w:r>
              <w:t xml:space="preserve"> </w:t>
            </w:r>
            <w:r w:rsidRPr="006B0DE2">
              <w:rPr>
                <w:rFonts w:ascii="Times New Roman" w:eastAsia="Times New Roman" w:hAnsi="Times New Roman" w:cs="Times New Roman"/>
                <w:color w:val="000000"/>
                <w:sz w:val="24"/>
                <w:szCs w:val="24"/>
                <w:lang w:eastAsia="lv-LV"/>
              </w:rPr>
              <w:t xml:space="preserve">Spēļu automātu aizlieguma efektivitāte ir empīriski apstiprināta pētījumos, vienlaikus norādot uz tendenci palielināties interaktīvo azartspēļu tirgus segmentam (sk. Azartspēļu politikas pamatnostādnes 54 </w:t>
            </w:r>
            <w:proofErr w:type="spellStart"/>
            <w:r w:rsidRPr="006B0DE2">
              <w:rPr>
                <w:rFonts w:ascii="Times New Roman" w:eastAsia="Times New Roman" w:hAnsi="Times New Roman" w:cs="Times New Roman"/>
                <w:color w:val="000000"/>
                <w:sz w:val="24"/>
                <w:szCs w:val="24"/>
                <w:lang w:eastAsia="lv-LV"/>
              </w:rPr>
              <w:t>lpp</w:t>
            </w:r>
            <w:proofErr w:type="spellEnd"/>
            <w:r w:rsidRPr="006B0DE2">
              <w:rPr>
                <w:rFonts w:ascii="Times New Roman" w:eastAsia="Times New Roman" w:hAnsi="Times New Roman" w:cs="Times New Roman"/>
                <w:color w:val="000000"/>
                <w:sz w:val="24"/>
                <w:szCs w:val="24"/>
                <w:lang w:eastAsia="lv-LV"/>
              </w:rPr>
              <w:t>).</w:t>
            </w:r>
          </w:p>
          <w:p w14:paraId="62665020" w14:textId="4CC61C84" w:rsidR="006B0DE2" w:rsidRDefault="006B0DE2" w:rsidP="006B0DE2">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sidRPr="006B0DE2">
              <w:rPr>
                <w:rFonts w:ascii="Times New Roman" w:eastAsia="Times New Roman" w:hAnsi="Times New Roman" w:cs="Times New Roman"/>
                <w:color w:val="000000"/>
                <w:sz w:val="24"/>
                <w:szCs w:val="24"/>
                <w:lang w:eastAsia="lv-LV"/>
              </w:rPr>
              <w:t xml:space="preserve">Vairākās valstīs sociālekonomiskais statuss var būt par iemeslu aizliegumam piedalīties azartspēlēs, it īpaši tas attiecas uz personām, kurām ir piešķirts bezdarbnieka vai maznodrošinātas personas statuss, kā arī tas varētu tikt attiecināts uz citām personām, kas saņem sociālo palīdzību. Tas korelē ar pētījumiem, kuros secināts, ka noteiktā teritorija, kurā ir liels dzīvojošo iedzīvotāju īpatsvars, kas saņem pašvaldības nodrošinātu sociālu palīdzību un ir ar bezdarbnieka statusu vai/un ar zemu ienākumu līmeni, atrodas paaugstinātā riska grupā. Svarīgi atzīmēt, ka minētā nostāja sakrīt ar plašsaziņas līdzekļos pieejamo azartspēļu nozares pārstāvja viedokli, ka “azartspēles un maznodrošinātie ir absolūti nesavienojamas lietas” (sk. Azartspēļu politikas pamatnostādnes 54 un 55 </w:t>
            </w:r>
            <w:proofErr w:type="spellStart"/>
            <w:r w:rsidRPr="006B0DE2">
              <w:rPr>
                <w:rFonts w:ascii="Times New Roman" w:eastAsia="Times New Roman" w:hAnsi="Times New Roman" w:cs="Times New Roman"/>
                <w:color w:val="000000"/>
                <w:sz w:val="24"/>
                <w:szCs w:val="24"/>
                <w:lang w:eastAsia="lv-LV"/>
              </w:rPr>
              <w:t>lpp</w:t>
            </w:r>
            <w:proofErr w:type="spellEnd"/>
            <w:r w:rsidRPr="006B0DE2">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color w:val="000000"/>
                <w:sz w:val="24"/>
                <w:szCs w:val="24"/>
                <w:lang w:eastAsia="lv-LV"/>
              </w:rPr>
              <w:t>.</w:t>
            </w:r>
          </w:p>
          <w:p w14:paraId="6740C8EB" w14:textId="3D385574" w:rsidR="006B0DE2" w:rsidRDefault="006B0DE2" w:rsidP="006B0DE2">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sidRPr="006B0DE2">
              <w:rPr>
                <w:rFonts w:ascii="Times New Roman" w:eastAsia="Times New Roman" w:hAnsi="Times New Roman" w:cs="Times New Roman"/>
                <w:color w:val="000000"/>
                <w:sz w:val="24"/>
                <w:szCs w:val="24"/>
                <w:lang w:eastAsia="lv-LV"/>
              </w:rPr>
              <w:t xml:space="preserve">Ņemot vērā iepriekš minēto un ievērojot, ka Azartspēļu organizēšanas vietu darbībā </w:t>
            </w:r>
            <w:r>
              <w:rPr>
                <w:rFonts w:ascii="Times New Roman" w:eastAsia="Times New Roman" w:hAnsi="Times New Roman" w:cs="Times New Roman"/>
                <w:color w:val="000000"/>
                <w:sz w:val="24"/>
                <w:szCs w:val="24"/>
                <w:lang w:eastAsia="lv-LV"/>
              </w:rPr>
              <w:t>Limbažu novada administratīvajā teritorijā</w:t>
            </w:r>
            <w:r w:rsidRPr="006B0DE2">
              <w:rPr>
                <w:rFonts w:ascii="Times New Roman" w:eastAsia="Times New Roman" w:hAnsi="Times New Roman" w:cs="Times New Roman"/>
                <w:color w:val="000000"/>
                <w:sz w:val="24"/>
                <w:szCs w:val="24"/>
                <w:lang w:eastAsia="lv-LV"/>
              </w:rPr>
              <w:t xml:space="preserve"> ietekmē pašvaldības likumā “Par pašvaldību” noteikto funkciju izpildi un apzinoties azartspēļu nozares pakalpojumu radīto </w:t>
            </w:r>
            <w:r w:rsidRPr="00710E2C">
              <w:rPr>
                <w:rFonts w:ascii="Times New Roman" w:eastAsia="Times New Roman" w:hAnsi="Times New Roman" w:cs="Times New Roman"/>
                <w:color w:val="000000"/>
                <w:sz w:val="24"/>
                <w:szCs w:val="24"/>
                <w:lang w:eastAsia="lv-LV"/>
              </w:rPr>
              <w:t xml:space="preserve">paaugstināto risku indivīdam un sabiedrībai kopumā, kā arī ņemot vērā Limbažu novada ilgtspējīgas attīstības stratēģijā iekļautos pilsētas attīstības virzienus un mērķi </w:t>
            </w:r>
            <w:r w:rsidR="00710E2C" w:rsidRPr="00710E2C">
              <w:rPr>
                <w:rFonts w:ascii="Times New Roman" w:eastAsia="Times New Roman" w:hAnsi="Times New Roman" w:cs="Times New Roman"/>
                <w:color w:val="000000"/>
                <w:sz w:val="24"/>
                <w:szCs w:val="24"/>
                <w:lang w:eastAsia="lv-LV"/>
              </w:rPr>
              <w:t>atbalstīt un veicināt novada iedzīvotāju daudzpusīgas izaugsmes iespējas un labklājības celšanu</w:t>
            </w:r>
            <w:r w:rsidRPr="00710E2C">
              <w:rPr>
                <w:rFonts w:ascii="Times New Roman" w:eastAsia="Times New Roman" w:hAnsi="Times New Roman" w:cs="Times New Roman"/>
                <w:color w:val="000000"/>
                <w:sz w:val="24"/>
                <w:szCs w:val="24"/>
                <w:lang w:eastAsia="lv-LV"/>
              </w:rPr>
              <w:t>, Limbažu novada pašvaldīb</w:t>
            </w:r>
            <w:r w:rsidR="00090EE9">
              <w:rPr>
                <w:rFonts w:ascii="Times New Roman" w:eastAsia="Times New Roman" w:hAnsi="Times New Roman" w:cs="Times New Roman"/>
                <w:color w:val="000000"/>
                <w:sz w:val="24"/>
                <w:szCs w:val="24"/>
                <w:lang w:eastAsia="lv-LV"/>
              </w:rPr>
              <w:t>ā</w:t>
            </w:r>
            <w:r w:rsidRPr="00710E2C">
              <w:rPr>
                <w:rFonts w:ascii="Times New Roman" w:eastAsia="Times New Roman" w:hAnsi="Times New Roman" w:cs="Times New Roman"/>
                <w:color w:val="000000"/>
                <w:sz w:val="24"/>
                <w:szCs w:val="24"/>
                <w:lang w:eastAsia="lv-LV"/>
              </w:rPr>
              <w:t>, izsverot visu</w:t>
            </w:r>
            <w:r w:rsidRPr="006B0DE2">
              <w:rPr>
                <w:rFonts w:ascii="Times New Roman" w:eastAsia="Times New Roman" w:hAnsi="Times New Roman" w:cs="Times New Roman"/>
                <w:color w:val="000000"/>
                <w:sz w:val="24"/>
                <w:szCs w:val="24"/>
                <w:lang w:eastAsia="lv-LV"/>
              </w:rPr>
              <w:t xml:space="preserve"> iesaistīto pušu intereses, ar šiem noteikumiem nosak</w:t>
            </w:r>
            <w:r w:rsidR="00090EE9">
              <w:rPr>
                <w:rFonts w:ascii="Times New Roman" w:eastAsia="Times New Roman" w:hAnsi="Times New Roman" w:cs="Times New Roman"/>
                <w:color w:val="000000"/>
                <w:sz w:val="24"/>
                <w:szCs w:val="24"/>
                <w:lang w:eastAsia="lv-LV"/>
              </w:rPr>
              <w:t>āms,</w:t>
            </w:r>
            <w:r w:rsidRPr="006B0DE2">
              <w:rPr>
                <w:rFonts w:ascii="Times New Roman" w:eastAsia="Times New Roman" w:hAnsi="Times New Roman" w:cs="Times New Roman"/>
                <w:color w:val="000000"/>
                <w:sz w:val="24"/>
                <w:szCs w:val="24"/>
                <w:lang w:eastAsia="lv-LV"/>
              </w:rPr>
              <w:t xml:space="preserve"> ka Azartspēļu organizēšana </w:t>
            </w:r>
            <w:r>
              <w:rPr>
                <w:rFonts w:ascii="Times New Roman" w:eastAsia="Times New Roman" w:hAnsi="Times New Roman" w:cs="Times New Roman"/>
                <w:color w:val="000000"/>
                <w:sz w:val="24"/>
                <w:szCs w:val="24"/>
                <w:lang w:eastAsia="lv-LV"/>
              </w:rPr>
              <w:t>Limbažu novada pašvaldības</w:t>
            </w:r>
            <w:r w:rsidRPr="006B0DE2">
              <w:rPr>
                <w:rFonts w:ascii="Times New Roman" w:eastAsia="Times New Roman" w:hAnsi="Times New Roman" w:cs="Times New Roman"/>
                <w:color w:val="000000"/>
                <w:sz w:val="24"/>
                <w:szCs w:val="24"/>
                <w:lang w:eastAsia="lv-LV"/>
              </w:rPr>
              <w:t xml:space="preserve"> administratīvajā teritorijā nav atļauta, izņemot Azartspēļu un izložu likumā noteiktos gadījumus, kad </w:t>
            </w:r>
            <w:r w:rsidRPr="006B0DE2">
              <w:rPr>
                <w:rFonts w:ascii="Times New Roman" w:eastAsia="Times New Roman" w:hAnsi="Times New Roman" w:cs="Times New Roman"/>
                <w:color w:val="000000"/>
                <w:sz w:val="24"/>
                <w:szCs w:val="24"/>
                <w:lang w:eastAsia="lv-LV"/>
              </w:rPr>
              <w:lastRenderedPageBreak/>
              <w:t>pašvaldības atļauja Azartspēļu organizēšanai nav nepieciešama, t.i., četru un piecu zvaigžņu viesnīcas. Vienlaikus noteikumos tiek paredzēts pietiekams pārejas periods attiecībā uz noteikumu spēkā stāšanas brīdi izsniegto atļauju Azartspēļu organizēšanai atcelšanu, ievērojot Azartspēļu un izložu likuma 42. panta sestajā un septītajā daļā noteikto, kas nosaka, ka izsniegtā atļauja azartspēļu organizēšanai konkrētajās telpās zaudē spēku pēc pieciem gadiem, skaitot no attiecīgā domes lēmuma spēkā stāšanās dienas.</w:t>
            </w:r>
          </w:p>
          <w:p w14:paraId="2C7B9658" w14:textId="6A061047" w:rsidR="00710E2C" w:rsidRDefault="00710E2C" w:rsidP="006B0DE2">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Limbažu novada</w:t>
            </w:r>
            <w:r w:rsidRPr="00710E2C">
              <w:rPr>
                <w:rFonts w:ascii="Times New Roman" w:eastAsia="Times New Roman" w:hAnsi="Times New Roman" w:cs="Times New Roman"/>
                <w:color w:val="000000"/>
                <w:sz w:val="24"/>
                <w:szCs w:val="24"/>
                <w:lang w:eastAsia="lv-LV"/>
              </w:rPr>
              <w:t xml:space="preserve"> pašvaldības rīcība attiecībā uz atļauju Azartspēļu organizēšanai izsniegšanu ir bijusi nemainīga un konsekventa kopš Azartspēļu un izložu likuma spēkā stāšanās 2006. gada 1. janvārī. Līdz minētā likuma spēkā stāšanās atļaujas Azartspēļu organizēšanai atbilstoši likumam “Par izlozēm un azartspēlēm” izsniedza Finanšu ministrija. Visas </w:t>
            </w:r>
            <w:r>
              <w:rPr>
                <w:rFonts w:ascii="Times New Roman" w:eastAsia="Times New Roman" w:hAnsi="Times New Roman" w:cs="Times New Roman"/>
                <w:color w:val="000000"/>
                <w:sz w:val="24"/>
                <w:szCs w:val="24"/>
                <w:lang w:eastAsia="lv-LV"/>
              </w:rPr>
              <w:t>Limbažu</w:t>
            </w:r>
            <w:r w:rsidRPr="00710E2C">
              <w:rPr>
                <w:rFonts w:ascii="Times New Roman" w:eastAsia="Times New Roman" w:hAnsi="Times New Roman" w:cs="Times New Roman"/>
                <w:color w:val="000000"/>
                <w:sz w:val="24"/>
                <w:szCs w:val="24"/>
                <w:lang w:eastAsia="lv-LV"/>
              </w:rPr>
              <w:t xml:space="preserve"> pilsētas administratīvajā teritorijā darbojošās Azartspēļu organizēšanas vietas atļaujas Azartspēļu organizēšanai ir saņēmušas likumā “Par izlozēm un azartspēlēm” noteiktajā kārtībā, t.i., </w:t>
            </w:r>
            <w:r>
              <w:rPr>
                <w:rFonts w:ascii="Times New Roman" w:eastAsia="Times New Roman" w:hAnsi="Times New Roman" w:cs="Times New Roman"/>
                <w:color w:val="000000"/>
                <w:sz w:val="24"/>
                <w:szCs w:val="24"/>
                <w:lang w:eastAsia="lv-LV"/>
              </w:rPr>
              <w:t>Limbažu</w:t>
            </w:r>
            <w:r w:rsidRPr="00710E2C">
              <w:rPr>
                <w:rFonts w:ascii="Times New Roman" w:eastAsia="Times New Roman" w:hAnsi="Times New Roman" w:cs="Times New Roman"/>
                <w:color w:val="000000"/>
                <w:sz w:val="24"/>
                <w:szCs w:val="24"/>
                <w:lang w:eastAsia="lv-LV"/>
              </w:rPr>
              <w:t xml:space="preserve"> pilsētas dome nav pieņēmusi nevienu lēmumu par atļaujas izsniegšanu Azartspēļu organizēšanai konkrētā vietā </w:t>
            </w:r>
            <w:r>
              <w:rPr>
                <w:rFonts w:ascii="Times New Roman" w:eastAsia="Times New Roman" w:hAnsi="Times New Roman" w:cs="Times New Roman"/>
                <w:color w:val="000000"/>
                <w:sz w:val="24"/>
                <w:szCs w:val="24"/>
                <w:lang w:eastAsia="lv-LV"/>
              </w:rPr>
              <w:t>Limbažu</w:t>
            </w:r>
            <w:r w:rsidRPr="00710E2C">
              <w:rPr>
                <w:rFonts w:ascii="Times New Roman" w:eastAsia="Times New Roman" w:hAnsi="Times New Roman" w:cs="Times New Roman"/>
                <w:color w:val="000000"/>
                <w:sz w:val="24"/>
                <w:szCs w:val="24"/>
                <w:lang w:eastAsia="lv-LV"/>
              </w:rPr>
              <w:t xml:space="preserve"> pilsētā. </w:t>
            </w:r>
            <w:r>
              <w:rPr>
                <w:rFonts w:ascii="Times New Roman" w:eastAsia="Times New Roman" w:hAnsi="Times New Roman" w:cs="Times New Roman"/>
                <w:color w:val="000000"/>
                <w:sz w:val="24"/>
                <w:szCs w:val="24"/>
                <w:lang w:eastAsia="lv-LV"/>
              </w:rPr>
              <w:t>Limbažu</w:t>
            </w:r>
            <w:r w:rsidRPr="00710E2C">
              <w:rPr>
                <w:rFonts w:ascii="Times New Roman" w:eastAsia="Times New Roman" w:hAnsi="Times New Roman" w:cs="Times New Roman"/>
                <w:color w:val="000000"/>
                <w:sz w:val="24"/>
                <w:szCs w:val="24"/>
                <w:lang w:eastAsia="lv-LV"/>
              </w:rPr>
              <w:t xml:space="preserve"> pilsētas domes rīcībā, kopš atbilstošu tiesību izsniegt atļaujas paredzēšanas Azartspēļu un izložu likumā, ir bijusi nemainīga - jaunas atļaujas nav tikušas izsniegtas. Ievērojot </w:t>
            </w:r>
            <w:r>
              <w:rPr>
                <w:rFonts w:ascii="Times New Roman" w:eastAsia="Times New Roman" w:hAnsi="Times New Roman" w:cs="Times New Roman"/>
                <w:color w:val="000000"/>
                <w:sz w:val="24"/>
                <w:szCs w:val="24"/>
                <w:lang w:eastAsia="lv-LV"/>
              </w:rPr>
              <w:t>Limbažu</w:t>
            </w:r>
            <w:r w:rsidRPr="00710E2C">
              <w:rPr>
                <w:rFonts w:ascii="Times New Roman" w:eastAsia="Times New Roman" w:hAnsi="Times New Roman" w:cs="Times New Roman"/>
                <w:color w:val="000000"/>
                <w:sz w:val="24"/>
                <w:szCs w:val="24"/>
                <w:lang w:eastAsia="lv-LV"/>
              </w:rPr>
              <w:t xml:space="preserve"> pilsētas domes līdzšinējo konsekvento rīcību neizsniedzot atļaujas un Azartspēļu un izložu likuma 42. panta sestajā daļā ietvertās pašvaldības tiesības atcelt jau izsniegtās atļaujas, Noteikumu pieņemšanas rezultātā, netiek pārkāptas privātpersonu tiesiskās paļāvības princips, jo tās nevarēja paļauties, ka iepriekš iegūtās tiesības tiks aizsargāts mūžīgi, tieši pretēji, ievērojot labas pārvaldības principu tiek nostiprināta </w:t>
            </w:r>
            <w:r>
              <w:rPr>
                <w:rFonts w:ascii="Times New Roman" w:eastAsia="Times New Roman" w:hAnsi="Times New Roman" w:cs="Times New Roman"/>
                <w:color w:val="000000"/>
                <w:sz w:val="24"/>
                <w:szCs w:val="24"/>
                <w:lang w:eastAsia="lv-LV"/>
              </w:rPr>
              <w:t>Limbažu</w:t>
            </w:r>
            <w:r w:rsidRPr="00710E2C">
              <w:rPr>
                <w:rFonts w:ascii="Times New Roman" w:eastAsia="Times New Roman" w:hAnsi="Times New Roman" w:cs="Times New Roman"/>
                <w:color w:val="000000"/>
                <w:sz w:val="24"/>
                <w:szCs w:val="24"/>
                <w:lang w:eastAsia="lv-LV"/>
              </w:rPr>
              <w:t xml:space="preserve"> pilsētas domes līdzšinējā prakse Azartspēļu organizēšanas jautājumā </w:t>
            </w:r>
            <w:r>
              <w:rPr>
                <w:rFonts w:ascii="Times New Roman" w:eastAsia="Times New Roman" w:hAnsi="Times New Roman" w:cs="Times New Roman"/>
                <w:color w:val="000000"/>
                <w:sz w:val="24"/>
                <w:szCs w:val="24"/>
                <w:lang w:eastAsia="lv-LV"/>
              </w:rPr>
              <w:t>Limbažu novada pašvaldības</w:t>
            </w:r>
            <w:r w:rsidRPr="00710E2C">
              <w:rPr>
                <w:rFonts w:ascii="Times New Roman" w:eastAsia="Times New Roman" w:hAnsi="Times New Roman" w:cs="Times New Roman"/>
                <w:color w:val="000000"/>
                <w:sz w:val="24"/>
                <w:szCs w:val="24"/>
                <w:lang w:eastAsia="lv-LV"/>
              </w:rPr>
              <w:t xml:space="preserve"> administratīvajā teritorijā.</w:t>
            </w:r>
          </w:p>
          <w:p w14:paraId="28BF99EF" w14:textId="77777777" w:rsidR="00710E2C" w:rsidRDefault="006B0DE2" w:rsidP="00313844">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r w:rsidRPr="00710E2C">
              <w:rPr>
                <w:rFonts w:ascii="Times New Roman" w:eastAsia="Times New Roman" w:hAnsi="Times New Roman" w:cs="Times New Roman"/>
                <w:color w:val="000000"/>
                <w:sz w:val="24"/>
                <w:szCs w:val="24"/>
                <w:lang w:eastAsia="lv-LV"/>
              </w:rPr>
              <w:t xml:space="preserve">Ievērojot Latvijas Republikas Satversmes 115. pantā ietvertās ikviena cilvēku tiesības dzīvot labvēlīgā vidē un vadoties no </w:t>
            </w:r>
            <w:r w:rsidR="00710E2C" w:rsidRPr="00710E2C">
              <w:rPr>
                <w:rFonts w:ascii="Times New Roman" w:eastAsia="Times New Roman" w:hAnsi="Times New Roman" w:cs="Times New Roman"/>
                <w:color w:val="000000"/>
                <w:sz w:val="24"/>
                <w:szCs w:val="24"/>
                <w:lang w:eastAsia="lv-LV"/>
              </w:rPr>
              <w:t>Limbažu novada</w:t>
            </w:r>
            <w:r w:rsidRPr="00710E2C">
              <w:rPr>
                <w:rFonts w:ascii="Times New Roman" w:eastAsia="Times New Roman" w:hAnsi="Times New Roman" w:cs="Times New Roman"/>
                <w:color w:val="000000"/>
                <w:sz w:val="24"/>
                <w:szCs w:val="24"/>
                <w:lang w:eastAsia="lv-LV"/>
              </w:rPr>
              <w:t xml:space="preserve"> ilgtspējīgas attīstības stratēģijā ietvertajiem </w:t>
            </w:r>
            <w:r w:rsidRPr="00710E2C">
              <w:rPr>
                <w:rFonts w:ascii="Times New Roman" w:eastAsia="Times New Roman" w:hAnsi="Times New Roman" w:cs="Times New Roman"/>
                <w:color w:val="000000"/>
                <w:sz w:val="24"/>
                <w:szCs w:val="24"/>
                <w:lang w:eastAsia="lv-LV"/>
              </w:rPr>
              <w:lastRenderedPageBreak/>
              <w:t xml:space="preserve">mērķiem un uzdevumiem, labums ko iegūs </w:t>
            </w:r>
            <w:r w:rsidR="00710E2C" w:rsidRPr="00710E2C">
              <w:rPr>
                <w:rFonts w:ascii="Times New Roman" w:eastAsia="Times New Roman" w:hAnsi="Times New Roman" w:cs="Times New Roman"/>
                <w:color w:val="000000"/>
                <w:sz w:val="24"/>
                <w:szCs w:val="24"/>
                <w:lang w:eastAsia="lv-LV"/>
              </w:rPr>
              <w:t>Limbažu</w:t>
            </w:r>
            <w:r w:rsidRPr="00710E2C">
              <w:rPr>
                <w:rFonts w:ascii="Times New Roman" w:eastAsia="Times New Roman" w:hAnsi="Times New Roman" w:cs="Times New Roman"/>
                <w:color w:val="000000"/>
                <w:sz w:val="24"/>
                <w:szCs w:val="24"/>
                <w:lang w:eastAsia="lv-LV"/>
              </w:rPr>
              <w:t xml:space="preserve"> pilsētas iedzīvotāji un tās no Azartspēļu organizēšanas ierobežošanas ir lielāks par Azartspēļu organizatoru tiesību aizskārumu. Noteikumu mērķis ir pilnībā ierobežot Azartspēļu organizēšanas vietu izplatību </w:t>
            </w:r>
            <w:r w:rsidR="00710E2C" w:rsidRPr="00710E2C">
              <w:rPr>
                <w:rFonts w:ascii="Times New Roman" w:eastAsia="Times New Roman" w:hAnsi="Times New Roman" w:cs="Times New Roman"/>
                <w:color w:val="000000"/>
                <w:sz w:val="24"/>
                <w:szCs w:val="24"/>
                <w:lang w:eastAsia="lv-LV"/>
              </w:rPr>
              <w:t>Limbažu novada pašvaldības administratīvajā</w:t>
            </w:r>
            <w:r w:rsidRPr="00710E2C">
              <w:rPr>
                <w:rFonts w:ascii="Times New Roman" w:eastAsia="Times New Roman" w:hAnsi="Times New Roman" w:cs="Times New Roman"/>
                <w:color w:val="000000"/>
                <w:sz w:val="24"/>
                <w:szCs w:val="24"/>
                <w:lang w:eastAsia="lv-LV"/>
              </w:rPr>
              <w:t xml:space="preserve"> teritorijā, paredzot, ka turpmāk Azartspēles drīkstēs organizēt Azartspēļu organizēšanas ierobežojumu noteikšana pašvaldības saistošajos noteikumos, nodrošina </w:t>
            </w:r>
            <w:proofErr w:type="spellStart"/>
            <w:r w:rsidRPr="00710E2C">
              <w:rPr>
                <w:rFonts w:ascii="Times New Roman" w:eastAsia="Times New Roman" w:hAnsi="Times New Roman" w:cs="Times New Roman"/>
                <w:color w:val="000000"/>
                <w:sz w:val="24"/>
                <w:szCs w:val="24"/>
                <w:lang w:eastAsia="lv-LV"/>
              </w:rPr>
              <w:t>paredzamību</w:t>
            </w:r>
            <w:proofErr w:type="spellEnd"/>
            <w:r w:rsidRPr="00710E2C">
              <w:rPr>
                <w:rFonts w:ascii="Times New Roman" w:eastAsia="Times New Roman" w:hAnsi="Times New Roman" w:cs="Times New Roman"/>
                <w:color w:val="000000"/>
                <w:sz w:val="24"/>
                <w:szCs w:val="24"/>
                <w:lang w:eastAsia="lv-LV"/>
              </w:rPr>
              <w:t xml:space="preserve"> gan komersantiem, gan iedzīvotājiem un sabiedrībai kopumā lielākā mērā nekā individuālo atļauju sistēma.</w:t>
            </w:r>
          </w:p>
          <w:p w14:paraId="27E75F52" w14:textId="6BB563B9" w:rsidR="003A02FF" w:rsidRPr="00BD2866" w:rsidRDefault="003A02FF" w:rsidP="00313844">
            <w:pPr>
              <w:spacing w:before="100" w:beforeAutospacing="1" w:after="100" w:afterAutospacing="1" w:line="240" w:lineRule="auto"/>
              <w:jc w:val="both"/>
              <w:rPr>
                <w:rFonts w:ascii="Times New Roman" w:eastAsia="Times New Roman" w:hAnsi="Times New Roman" w:cs="Times New Roman"/>
                <w:color w:val="000000"/>
                <w:sz w:val="24"/>
                <w:szCs w:val="24"/>
                <w:lang w:eastAsia="lv-LV"/>
              </w:rPr>
            </w:pPr>
          </w:p>
        </w:tc>
      </w:tr>
      <w:tr w:rsidR="00F97B87" w:rsidRPr="00BD2866" w14:paraId="71B55B2C" w14:textId="77777777" w:rsidTr="00313844">
        <w:trPr>
          <w:trHeight w:val="500"/>
        </w:trPr>
        <w:tc>
          <w:tcPr>
            <w:tcW w:w="4694" w:type="dxa"/>
            <w:tcBorders>
              <w:top w:val="single" w:sz="4" w:space="0" w:color="auto"/>
              <w:left w:val="single" w:sz="4" w:space="0" w:color="auto"/>
              <w:bottom w:val="single" w:sz="4" w:space="0" w:color="auto"/>
              <w:right w:val="single" w:sz="4" w:space="0" w:color="auto"/>
            </w:tcBorders>
          </w:tcPr>
          <w:p w14:paraId="2997389D" w14:textId="15176512" w:rsidR="00E32855" w:rsidRPr="00BD2866" w:rsidRDefault="00F97B87" w:rsidP="00313844">
            <w:pPr>
              <w:autoSpaceDE w:val="0"/>
              <w:adjustRightInd w:val="0"/>
              <w:spacing w:after="0" w:line="240" w:lineRule="auto"/>
              <w:rPr>
                <w:rFonts w:ascii="Times New Roman" w:eastAsia="Times New Roman" w:hAnsi="Times New Roman" w:cs="Times New Roman"/>
                <w:b/>
                <w:color w:val="000000"/>
                <w:sz w:val="24"/>
                <w:szCs w:val="24"/>
              </w:rPr>
            </w:pPr>
            <w:r w:rsidRPr="00BD2866">
              <w:rPr>
                <w:rFonts w:ascii="Times New Roman" w:eastAsia="Times New Roman" w:hAnsi="Times New Roman" w:cs="Times New Roman"/>
                <w:color w:val="000000"/>
                <w:sz w:val="24"/>
                <w:szCs w:val="24"/>
              </w:rPr>
              <w:lastRenderedPageBreak/>
              <w:t>2. Īss projekta satura izklāsts</w:t>
            </w:r>
          </w:p>
        </w:tc>
        <w:tc>
          <w:tcPr>
            <w:tcW w:w="4694" w:type="dxa"/>
            <w:tcBorders>
              <w:top w:val="single" w:sz="4" w:space="0" w:color="auto"/>
              <w:left w:val="single" w:sz="4" w:space="0" w:color="auto"/>
              <w:bottom w:val="single" w:sz="4" w:space="0" w:color="auto"/>
              <w:right w:val="single" w:sz="4" w:space="0" w:color="auto"/>
            </w:tcBorders>
          </w:tcPr>
          <w:p w14:paraId="19DB1103" w14:textId="77777777" w:rsidR="00F97B87" w:rsidRDefault="006B0DE2" w:rsidP="00313844">
            <w:pPr>
              <w:autoSpaceDE w:val="0"/>
              <w:adjustRightInd w:val="0"/>
              <w:spacing w:after="0" w:line="240" w:lineRule="auto"/>
              <w:jc w:val="both"/>
              <w:rPr>
                <w:rFonts w:ascii="Times New Roman" w:eastAsia="Times New Roman" w:hAnsi="Times New Roman" w:cs="Times New Roman"/>
                <w:color w:val="000000"/>
                <w:sz w:val="24"/>
                <w:szCs w:val="24"/>
              </w:rPr>
            </w:pPr>
            <w:r w:rsidRPr="006B0DE2">
              <w:rPr>
                <w:rFonts w:ascii="Times New Roman" w:eastAsia="Times New Roman" w:hAnsi="Times New Roman" w:cs="Times New Roman"/>
                <w:color w:val="000000"/>
                <w:sz w:val="24"/>
                <w:szCs w:val="24"/>
              </w:rPr>
              <w:t xml:space="preserve">Saistošie noteikumi nosaka, ka kazino, spēļu zāles, </w:t>
            </w:r>
            <w:proofErr w:type="spellStart"/>
            <w:r w:rsidRPr="006B0DE2">
              <w:rPr>
                <w:rFonts w:ascii="Times New Roman" w:eastAsia="Times New Roman" w:hAnsi="Times New Roman" w:cs="Times New Roman"/>
                <w:color w:val="000000"/>
                <w:sz w:val="24"/>
                <w:szCs w:val="24"/>
              </w:rPr>
              <w:t>bingo</w:t>
            </w:r>
            <w:proofErr w:type="spellEnd"/>
            <w:r w:rsidRPr="006B0DE2">
              <w:rPr>
                <w:rFonts w:ascii="Times New Roman" w:eastAsia="Times New Roman" w:hAnsi="Times New Roman" w:cs="Times New Roman"/>
                <w:color w:val="000000"/>
                <w:sz w:val="24"/>
                <w:szCs w:val="24"/>
              </w:rPr>
              <w:t xml:space="preserve"> zāles, </w:t>
            </w:r>
            <w:proofErr w:type="spellStart"/>
            <w:r w:rsidRPr="006B0DE2">
              <w:rPr>
                <w:rFonts w:ascii="Times New Roman" w:eastAsia="Times New Roman" w:hAnsi="Times New Roman" w:cs="Times New Roman"/>
                <w:color w:val="000000"/>
                <w:sz w:val="24"/>
                <w:szCs w:val="24"/>
              </w:rPr>
              <w:t>totalizatora</w:t>
            </w:r>
            <w:proofErr w:type="spellEnd"/>
            <w:r w:rsidRPr="006B0DE2">
              <w:rPr>
                <w:rFonts w:ascii="Times New Roman" w:eastAsia="Times New Roman" w:hAnsi="Times New Roman" w:cs="Times New Roman"/>
                <w:color w:val="000000"/>
                <w:sz w:val="24"/>
                <w:szCs w:val="24"/>
              </w:rPr>
              <w:t xml:space="preserve"> vai derību likmju pieņemšanas vietu organizēšana </w:t>
            </w:r>
            <w:r w:rsidR="00710E2C">
              <w:rPr>
                <w:rFonts w:ascii="Times New Roman" w:eastAsia="Times New Roman" w:hAnsi="Times New Roman" w:cs="Times New Roman"/>
                <w:color w:val="000000"/>
                <w:sz w:val="24"/>
                <w:szCs w:val="24"/>
              </w:rPr>
              <w:t>Limbažu novada pašvaldības</w:t>
            </w:r>
            <w:r w:rsidRPr="006B0DE2">
              <w:rPr>
                <w:rFonts w:ascii="Times New Roman" w:eastAsia="Times New Roman" w:hAnsi="Times New Roman" w:cs="Times New Roman"/>
                <w:color w:val="000000"/>
                <w:sz w:val="24"/>
                <w:szCs w:val="24"/>
              </w:rPr>
              <w:t xml:space="preserve"> administratīvajā teritorijā nav atļauta, izņemot Azartspēļu un izložu likumā noteiktos gadījumus, kad pašvaldības atļauja Azartspēļu organizēšanai nav nepieciešama</w:t>
            </w:r>
            <w:r>
              <w:rPr>
                <w:rFonts w:ascii="Times New Roman" w:eastAsia="Times New Roman" w:hAnsi="Times New Roman" w:cs="Times New Roman"/>
                <w:color w:val="000000"/>
                <w:sz w:val="24"/>
                <w:szCs w:val="24"/>
              </w:rPr>
              <w:t>.</w:t>
            </w:r>
          </w:p>
          <w:p w14:paraId="2963B8CD" w14:textId="7FC3E953" w:rsidR="00710E2C" w:rsidRPr="00BD2866" w:rsidRDefault="00710E2C" w:rsidP="00313844">
            <w:pPr>
              <w:autoSpaceDE w:val="0"/>
              <w:adjustRightInd w:val="0"/>
              <w:spacing w:after="0" w:line="240" w:lineRule="auto"/>
              <w:jc w:val="both"/>
              <w:rPr>
                <w:rFonts w:ascii="Times New Roman" w:eastAsia="Times New Roman" w:hAnsi="Times New Roman" w:cs="Times New Roman"/>
                <w:b/>
                <w:color w:val="000000"/>
                <w:sz w:val="24"/>
                <w:szCs w:val="24"/>
              </w:rPr>
            </w:pPr>
          </w:p>
        </w:tc>
      </w:tr>
      <w:tr w:rsidR="00F97B87" w:rsidRPr="00BD2866" w14:paraId="2A4C59A0" w14:textId="77777777" w:rsidTr="00313844">
        <w:trPr>
          <w:trHeight w:val="368"/>
        </w:trPr>
        <w:tc>
          <w:tcPr>
            <w:tcW w:w="4694" w:type="dxa"/>
            <w:tcBorders>
              <w:top w:val="single" w:sz="4" w:space="0" w:color="auto"/>
              <w:left w:val="single" w:sz="4" w:space="0" w:color="auto"/>
              <w:bottom w:val="single" w:sz="4" w:space="0" w:color="auto"/>
              <w:right w:val="single" w:sz="4" w:space="0" w:color="auto"/>
            </w:tcBorders>
          </w:tcPr>
          <w:p w14:paraId="5577AADB" w14:textId="77777777" w:rsidR="00F97B87" w:rsidRPr="00BD2866" w:rsidRDefault="00F97B87" w:rsidP="00313844">
            <w:pPr>
              <w:autoSpaceDE w:val="0"/>
              <w:adjustRightInd w:val="0"/>
              <w:spacing w:after="0" w:line="240" w:lineRule="auto"/>
              <w:rPr>
                <w:rFonts w:ascii="Times New Roman" w:eastAsia="Times New Roman" w:hAnsi="Times New Roman" w:cs="Times New Roman"/>
                <w:b/>
                <w:color w:val="000000"/>
                <w:sz w:val="24"/>
                <w:szCs w:val="24"/>
              </w:rPr>
            </w:pPr>
            <w:r w:rsidRPr="00BD2866">
              <w:rPr>
                <w:rFonts w:ascii="Times New Roman" w:eastAsia="Times New Roman" w:hAnsi="Times New Roman" w:cs="Times New Roman"/>
                <w:color w:val="000000"/>
                <w:sz w:val="24"/>
                <w:szCs w:val="24"/>
              </w:rPr>
              <w:t>3. Informācija par plānoto projekta ietekmi uz pašvaldības budžetu</w:t>
            </w:r>
          </w:p>
          <w:p w14:paraId="6AE287C5" w14:textId="77777777" w:rsidR="00F97B87" w:rsidRPr="00BD2866" w:rsidRDefault="00F97B87" w:rsidP="00313844">
            <w:pPr>
              <w:autoSpaceDE w:val="0"/>
              <w:adjustRightInd w:val="0"/>
              <w:spacing w:after="0" w:line="240" w:lineRule="auto"/>
              <w:rPr>
                <w:rFonts w:ascii="Times New Roman" w:eastAsia="Times New Roman" w:hAnsi="Times New Roman" w:cs="Times New Roman"/>
                <w:b/>
                <w:color w:val="000000"/>
                <w:sz w:val="24"/>
                <w:szCs w:val="24"/>
              </w:rPr>
            </w:pPr>
          </w:p>
        </w:tc>
        <w:tc>
          <w:tcPr>
            <w:tcW w:w="4694" w:type="dxa"/>
            <w:tcBorders>
              <w:top w:val="single" w:sz="4" w:space="0" w:color="auto"/>
              <w:left w:val="single" w:sz="4" w:space="0" w:color="auto"/>
              <w:bottom w:val="single" w:sz="4" w:space="0" w:color="auto"/>
              <w:right w:val="single" w:sz="4" w:space="0" w:color="auto"/>
            </w:tcBorders>
          </w:tcPr>
          <w:p w14:paraId="34213A9F" w14:textId="1EDC8815" w:rsidR="00090EE9" w:rsidRPr="005A7B79" w:rsidRDefault="006B0DE2" w:rsidP="00090EE9">
            <w:pPr>
              <w:autoSpaceDE w:val="0"/>
              <w:adjustRightInd w:val="0"/>
              <w:spacing w:after="0" w:line="240" w:lineRule="auto"/>
              <w:jc w:val="both"/>
              <w:rPr>
                <w:rFonts w:ascii="Times New Roman" w:eastAsia="Times New Roman" w:hAnsi="Times New Roman" w:cs="Times New Roman"/>
                <w:color w:val="000000"/>
                <w:sz w:val="24"/>
                <w:szCs w:val="24"/>
              </w:rPr>
            </w:pPr>
            <w:r w:rsidRPr="006B0DE2">
              <w:rPr>
                <w:rFonts w:ascii="Times New Roman" w:eastAsia="Times New Roman" w:hAnsi="Times New Roman" w:cs="Times New Roman"/>
                <w:color w:val="000000"/>
                <w:sz w:val="24"/>
                <w:szCs w:val="24"/>
              </w:rPr>
              <w:t xml:space="preserve">Saskaņā ar likuma “Par izložu un azartspēļu nodevu un nodokli” 12. panta otro daļu, </w:t>
            </w:r>
            <w:r w:rsidRPr="005A7B79">
              <w:rPr>
                <w:rFonts w:ascii="Times New Roman" w:eastAsia="Times New Roman" w:hAnsi="Times New Roman" w:cs="Times New Roman"/>
                <w:color w:val="000000"/>
                <w:sz w:val="24"/>
                <w:szCs w:val="24"/>
              </w:rPr>
              <w:t xml:space="preserve">ienākumi no azartspēļu nodokļa 5 procentu apmērā ieskaitāmi pašvaldības budžetā, kas </w:t>
            </w:r>
          </w:p>
          <w:p w14:paraId="65CF14D4" w14:textId="71CA5D4B" w:rsidR="006B0DE2" w:rsidRPr="005A7B79" w:rsidRDefault="005A7B79" w:rsidP="005A7B79">
            <w:pPr>
              <w:autoSpaceDE w:val="0"/>
              <w:adjustRightInd w:val="0"/>
              <w:spacing w:after="0" w:line="240" w:lineRule="auto"/>
              <w:jc w:val="both"/>
              <w:rPr>
                <w:rFonts w:ascii="Times New Roman" w:eastAsia="Times New Roman" w:hAnsi="Times New Roman" w:cs="Times New Roman"/>
                <w:color w:val="000000"/>
                <w:sz w:val="24"/>
                <w:szCs w:val="24"/>
              </w:rPr>
            </w:pPr>
            <w:r w:rsidRPr="005A7B79">
              <w:rPr>
                <w:rFonts w:ascii="Times New Roman" w:eastAsia="Times New Roman" w:hAnsi="Times New Roman" w:cs="Times New Roman"/>
                <w:color w:val="000000"/>
                <w:sz w:val="24"/>
                <w:szCs w:val="24"/>
              </w:rPr>
              <w:t xml:space="preserve">2021. gadā </w:t>
            </w:r>
            <w:r w:rsidR="00090EE9">
              <w:rPr>
                <w:rFonts w:ascii="Times New Roman" w:eastAsia="Times New Roman" w:hAnsi="Times New Roman" w:cs="Times New Roman"/>
                <w:color w:val="000000"/>
                <w:sz w:val="24"/>
                <w:szCs w:val="24"/>
              </w:rPr>
              <w:t xml:space="preserve">sastādīja </w:t>
            </w:r>
            <w:r w:rsidRPr="005A7B79">
              <w:rPr>
                <w:rFonts w:ascii="Times New Roman" w:eastAsia="Times New Roman" w:hAnsi="Times New Roman" w:cs="Times New Roman"/>
                <w:color w:val="000000"/>
                <w:sz w:val="24"/>
                <w:szCs w:val="24"/>
              </w:rPr>
              <w:t>aptuveni 2004 EUR.</w:t>
            </w:r>
          </w:p>
          <w:p w14:paraId="4B452D8D" w14:textId="30725E44" w:rsidR="00F97B87" w:rsidRDefault="006B0DE2" w:rsidP="005A7B79">
            <w:pPr>
              <w:autoSpaceDE w:val="0"/>
              <w:adjustRightInd w:val="0"/>
              <w:spacing w:after="0" w:line="240" w:lineRule="auto"/>
              <w:jc w:val="both"/>
              <w:rPr>
                <w:rFonts w:ascii="Times New Roman" w:eastAsia="Times New Roman" w:hAnsi="Times New Roman" w:cs="Times New Roman"/>
                <w:color w:val="000000"/>
                <w:sz w:val="24"/>
                <w:szCs w:val="24"/>
              </w:rPr>
            </w:pPr>
            <w:r w:rsidRPr="005A7B79">
              <w:rPr>
                <w:rFonts w:ascii="Times New Roman" w:eastAsia="Times New Roman" w:hAnsi="Times New Roman" w:cs="Times New Roman"/>
                <w:color w:val="000000"/>
                <w:sz w:val="24"/>
                <w:szCs w:val="24"/>
              </w:rPr>
              <w:t xml:space="preserve">Pamatojoties uz to, ka šobrīd esošās spēļu zāles un derību likmju pieņemšanas vieta neatrodas IV kategorijas [četru zvaigžņu (****)]vai V kategorijas [piecu zvaigžņu (*****)] viesnīcās, pašvaldības budžetā pēc esošo spēļu zāļu un derību likmju pieņemšanas vietas slēgšanas, tiek plānots, ka pašvaldības budžetā vidēji gadā netiks ieskaitīti Azartspēļu un izložu nodoklis </w:t>
            </w:r>
            <w:r w:rsidR="005A7B79" w:rsidRPr="005A7B79">
              <w:rPr>
                <w:rFonts w:ascii="Times New Roman" w:eastAsia="Times New Roman" w:hAnsi="Times New Roman" w:cs="Times New Roman"/>
                <w:color w:val="000000"/>
                <w:sz w:val="24"/>
                <w:szCs w:val="24"/>
              </w:rPr>
              <w:t>2004</w:t>
            </w:r>
            <w:r w:rsidRPr="005A7B79">
              <w:rPr>
                <w:rFonts w:ascii="Times New Roman" w:eastAsia="Times New Roman" w:hAnsi="Times New Roman" w:cs="Times New Roman"/>
                <w:color w:val="000000"/>
                <w:sz w:val="24"/>
                <w:szCs w:val="24"/>
              </w:rPr>
              <w:t xml:space="preserve"> EUR apmērā.</w:t>
            </w:r>
          </w:p>
          <w:p w14:paraId="0F7F8635" w14:textId="59AFE085" w:rsidR="006B0DE2" w:rsidRPr="00BD2866" w:rsidRDefault="006B0DE2" w:rsidP="006B0DE2">
            <w:pPr>
              <w:autoSpaceDE w:val="0"/>
              <w:adjustRightInd w:val="0"/>
              <w:spacing w:after="0" w:line="240" w:lineRule="auto"/>
              <w:rPr>
                <w:rFonts w:ascii="Times New Roman" w:eastAsia="Times New Roman" w:hAnsi="Times New Roman" w:cs="Times New Roman"/>
                <w:b/>
                <w:color w:val="000000"/>
                <w:sz w:val="24"/>
                <w:szCs w:val="24"/>
              </w:rPr>
            </w:pPr>
          </w:p>
        </w:tc>
      </w:tr>
      <w:tr w:rsidR="00F97B87" w:rsidRPr="00BD2866" w14:paraId="7C9A7C4F" w14:textId="77777777" w:rsidTr="00313844">
        <w:trPr>
          <w:trHeight w:val="502"/>
        </w:trPr>
        <w:tc>
          <w:tcPr>
            <w:tcW w:w="4694" w:type="dxa"/>
            <w:tcBorders>
              <w:top w:val="single" w:sz="4" w:space="0" w:color="auto"/>
              <w:left w:val="single" w:sz="4" w:space="0" w:color="auto"/>
              <w:bottom w:val="single" w:sz="4" w:space="0" w:color="auto"/>
              <w:right w:val="single" w:sz="4" w:space="0" w:color="auto"/>
            </w:tcBorders>
          </w:tcPr>
          <w:p w14:paraId="4E1715B5" w14:textId="77777777" w:rsidR="00F97B87" w:rsidRPr="00BD2866" w:rsidRDefault="00F97B87" w:rsidP="00313844">
            <w:pPr>
              <w:autoSpaceDE w:val="0"/>
              <w:adjustRightInd w:val="0"/>
              <w:spacing w:after="0" w:line="240" w:lineRule="auto"/>
              <w:rPr>
                <w:rFonts w:ascii="Times New Roman" w:eastAsia="Times New Roman" w:hAnsi="Times New Roman" w:cs="Times New Roman"/>
                <w:b/>
                <w:color w:val="000000"/>
                <w:sz w:val="24"/>
                <w:szCs w:val="24"/>
              </w:rPr>
            </w:pPr>
            <w:r w:rsidRPr="00BD2866">
              <w:rPr>
                <w:rFonts w:ascii="Times New Roman" w:eastAsia="Times New Roman" w:hAnsi="Times New Roman" w:cs="Times New Roman"/>
                <w:color w:val="000000"/>
                <w:sz w:val="24"/>
                <w:szCs w:val="24"/>
              </w:rPr>
              <w:t>4. Informācija par plānoto projekta ietekmi uz uzņēmējdarbības vidi pašvaldības teritorijā</w:t>
            </w:r>
          </w:p>
          <w:p w14:paraId="66A89EA3" w14:textId="77777777" w:rsidR="00F97B87" w:rsidRPr="00BD2866" w:rsidRDefault="00F97B87" w:rsidP="00313844">
            <w:pPr>
              <w:autoSpaceDE w:val="0"/>
              <w:adjustRightInd w:val="0"/>
              <w:spacing w:after="0" w:line="240" w:lineRule="auto"/>
              <w:rPr>
                <w:rFonts w:ascii="Times New Roman" w:eastAsia="Times New Roman" w:hAnsi="Times New Roman" w:cs="Times New Roman"/>
                <w:b/>
                <w:color w:val="000000"/>
                <w:sz w:val="24"/>
                <w:szCs w:val="24"/>
              </w:rPr>
            </w:pPr>
          </w:p>
        </w:tc>
        <w:tc>
          <w:tcPr>
            <w:tcW w:w="4694" w:type="dxa"/>
            <w:tcBorders>
              <w:top w:val="single" w:sz="4" w:space="0" w:color="auto"/>
              <w:left w:val="single" w:sz="4" w:space="0" w:color="auto"/>
              <w:bottom w:val="single" w:sz="4" w:space="0" w:color="auto"/>
              <w:right w:val="single" w:sz="4" w:space="0" w:color="auto"/>
            </w:tcBorders>
          </w:tcPr>
          <w:p w14:paraId="162347B2" w14:textId="6897EE99" w:rsidR="00F97B87" w:rsidRDefault="006B0DE2" w:rsidP="00313844">
            <w:pPr>
              <w:autoSpaceDE w:val="0"/>
              <w:adjustRightInd w:val="0"/>
              <w:spacing w:after="0" w:line="240" w:lineRule="auto"/>
              <w:rPr>
                <w:rFonts w:ascii="Times New Roman" w:eastAsia="Times New Roman" w:hAnsi="Times New Roman" w:cs="Times New Roman"/>
                <w:color w:val="000000"/>
                <w:sz w:val="24"/>
                <w:szCs w:val="24"/>
              </w:rPr>
            </w:pPr>
            <w:r w:rsidRPr="006B0DE2">
              <w:rPr>
                <w:rFonts w:ascii="Times New Roman" w:eastAsia="Times New Roman" w:hAnsi="Times New Roman" w:cs="Times New Roman"/>
                <w:color w:val="000000"/>
                <w:sz w:val="24"/>
                <w:szCs w:val="24"/>
              </w:rPr>
              <w:t xml:space="preserve">Saistošie noteikumi izstrādāti, pamatojoties uz </w:t>
            </w:r>
            <w:r w:rsidR="005A7B79">
              <w:rPr>
                <w:rFonts w:ascii="Times New Roman" w:eastAsia="Times New Roman" w:hAnsi="Times New Roman" w:cs="Times New Roman"/>
                <w:color w:val="000000"/>
                <w:sz w:val="24"/>
                <w:szCs w:val="24"/>
              </w:rPr>
              <w:t>Limbažu</w:t>
            </w:r>
            <w:r w:rsidRPr="006B0DE2">
              <w:rPr>
                <w:rFonts w:ascii="Times New Roman" w:eastAsia="Times New Roman" w:hAnsi="Times New Roman" w:cs="Times New Roman"/>
                <w:color w:val="000000"/>
                <w:sz w:val="24"/>
                <w:szCs w:val="24"/>
              </w:rPr>
              <w:t xml:space="preserve"> pilsētas iedzīvotāju pausto viedokli.</w:t>
            </w:r>
          </w:p>
          <w:p w14:paraId="6DDAC3E8" w14:textId="0F785360" w:rsidR="006B0DE2" w:rsidRPr="00BD2866" w:rsidRDefault="006B0DE2" w:rsidP="00313844">
            <w:pPr>
              <w:autoSpaceDE w:val="0"/>
              <w:adjustRightInd w:val="0"/>
              <w:spacing w:after="0" w:line="240" w:lineRule="auto"/>
              <w:rPr>
                <w:rFonts w:ascii="Times New Roman" w:eastAsia="Times New Roman" w:hAnsi="Times New Roman" w:cs="Times New Roman"/>
                <w:b/>
                <w:color w:val="000000"/>
                <w:sz w:val="24"/>
                <w:szCs w:val="24"/>
              </w:rPr>
            </w:pPr>
          </w:p>
        </w:tc>
      </w:tr>
      <w:tr w:rsidR="00F97B87" w:rsidRPr="00BD2866" w14:paraId="18261A6F" w14:textId="77777777" w:rsidTr="003A02FF">
        <w:trPr>
          <w:trHeight w:val="656"/>
        </w:trPr>
        <w:tc>
          <w:tcPr>
            <w:tcW w:w="4694" w:type="dxa"/>
            <w:tcBorders>
              <w:top w:val="single" w:sz="4" w:space="0" w:color="auto"/>
              <w:left w:val="single" w:sz="4" w:space="0" w:color="auto"/>
              <w:bottom w:val="single" w:sz="4" w:space="0" w:color="auto"/>
              <w:right w:val="single" w:sz="4" w:space="0" w:color="auto"/>
            </w:tcBorders>
          </w:tcPr>
          <w:p w14:paraId="4D9FEB98" w14:textId="77777777" w:rsidR="00F97B87" w:rsidRPr="00BD2866" w:rsidRDefault="00F97B87" w:rsidP="00313844">
            <w:pPr>
              <w:autoSpaceDE w:val="0"/>
              <w:adjustRightInd w:val="0"/>
              <w:spacing w:after="0" w:line="240" w:lineRule="auto"/>
              <w:rPr>
                <w:rFonts w:ascii="Times New Roman" w:eastAsia="Times New Roman" w:hAnsi="Times New Roman" w:cs="Times New Roman"/>
                <w:b/>
                <w:color w:val="000000"/>
                <w:sz w:val="24"/>
                <w:szCs w:val="24"/>
              </w:rPr>
            </w:pPr>
            <w:r w:rsidRPr="00BD2866">
              <w:rPr>
                <w:rFonts w:ascii="Times New Roman" w:eastAsia="Times New Roman" w:hAnsi="Times New Roman" w:cs="Times New Roman"/>
                <w:color w:val="000000"/>
                <w:sz w:val="24"/>
                <w:szCs w:val="24"/>
              </w:rPr>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1919B7EB" w14:textId="77777777" w:rsidR="006B0DE2" w:rsidRPr="003A02FF" w:rsidRDefault="006B0DE2" w:rsidP="006B0DE2">
            <w:pPr>
              <w:autoSpaceDE w:val="0"/>
              <w:adjustRightInd w:val="0"/>
              <w:spacing w:after="0" w:line="240" w:lineRule="auto"/>
              <w:jc w:val="both"/>
              <w:rPr>
                <w:rFonts w:ascii="Times New Roman" w:eastAsia="Times New Roman" w:hAnsi="Times New Roman" w:cs="Times New Roman"/>
                <w:color w:val="000000"/>
                <w:sz w:val="24"/>
                <w:szCs w:val="24"/>
              </w:rPr>
            </w:pPr>
            <w:r w:rsidRPr="003A02FF">
              <w:rPr>
                <w:rFonts w:ascii="Times New Roman" w:eastAsia="Times New Roman" w:hAnsi="Times New Roman" w:cs="Times New Roman"/>
                <w:color w:val="000000"/>
                <w:sz w:val="24"/>
                <w:szCs w:val="24"/>
              </w:rPr>
              <w:t>Saistošo noteikumu projekts izskatīts:</w:t>
            </w:r>
          </w:p>
          <w:p w14:paraId="54381502" w14:textId="15E63E67" w:rsidR="006B0DE2" w:rsidRPr="003A02FF" w:rsidRDefault="003A02FF" w:rsidP="006B0DE2">
            <w:pPr>
              <w:autoSpaceDE w:val="0"/>
              <w:adjustRightInd w:val="0"/>
              <w:spacing w:after="0" w:line="240" w:lineRule="auto"/>
              <w:jc w:val="both"/>
              <w:rPr>
                <w:rFonts w:ascii="Times New Roman" w:eastAsia="Times New Roman" w:hAnsi="Times New Roman" w:cs="Times New Roman"/>
                <w:color w:val="000000"/>
                <w:sz w:val="24"/>
                <w:szCs w:val="24"/>
              </w:rPr>
            </w:pPr>
            <w:r w:rsidRPr="003A02FF">
              <w:rPr>
                <w:rFonts w:ascii="Times New Roman" w:eastAsia="Times New Roman" w:hAnsi="Times New Roman" w:cs="Times New Roman"/>
                <w:color w:val="000000"/>
                <w:sz w:val="24"/>
                <w:szCs w:val="24"/>
              </w:rPr>
              <w:t>1</w:t>
            </w:r>
            <w:r w:rsidR="006B0DE2" w:rsidRPr="003A02FF">
              <w:rPr>
                <w:rFonts w:ascii="Times New Roman" w:eastAsia="Times New Roman" w:hAnsi="Times New Roman" w:cs="Times New Roman"/>
                <w:color w:val="000000"/>
                <w:sz w:val="24"/>
                <w:szCs w:val="24"/>
              </w:rPr>
              <w:t>. 202</w:t>
            </w:r>
            <w:r w:rsidR="00416FA5" w:rsidRPr="003A02FF">
              <w:rPr>
                <w:rFonts w:ascii="Times New Roman" w:eastAsia="Times New Roman" w:hAnsi="Times New Roman" w:cs="Times New Roman"/>
                <w:color w:val="000000"/>
                <w:sz w:val="24"/>
                <w:szCs w:val="24"/>
              </w:rPr>
              <w:t>2</w:t>
            </w:r>
            <w:r w:rsidR="006B0DE2" w:rsidRPr="003A02FF">
              <w:rPr>
                <w:rFonts w:ascii="Times New Roman" w:eastAsia="Times New Roman" w:hAnsi="Times New Roman" w:cs="Times New Roman"/>
                <w:color w:val="000000"/>
                <w:sz w:val="24"/>
                <w:szCs w:val="24"/>
              </w:rPr>
              <w:t xml:space="preserve">. gada </w:t>
            </w:r>
            <w:r w:rsidR="00416FA5" w:rsidRPr="003A02FF">
              <w:rPr>
                <w:rFonts w:ascii="Times New Roman" w:eastAsia="Times New Roman" w:hAnsi="Times New Roman" w:cs="Times New Roman"/>
                <w:color w:val="000000"/>
                <w:sz w:val="24"/>
                <w:szCs w:val="24"/>
              </w:rPr>
              <w:t>1</w:t>
            </w:r>
            <w:r w:rsidR="006B0DE2" w:rsidRPr="003A02FF">
              <w:rPr>
                <w:rFonts w:ascii="Times New Roman" w:eastAsia="Times New Roman" w:hAnsi="Times New Roman" w:cs="Times New Roman"/>
                <w:color w:val="000000"/>
                <w:sz w:val="24"/>
                <w:szCs w:val="24"/>
              </w:rPr>
              <w:t xml:space="preserve">7. </w:t>
            </w:r>
            <w:r w:rsidR="00416FA5" w:rsidRPr="003A02FF">
              <w:rPr>
                <w:rFonts w:ascii="Times New Roman" w:eastAsia="Times New Roman" w:hAnsi="Times New Roman" w:cs="Times New Roman"/>
                <w:color w:val="000000"/>
                <w:sz w:val="24"/>
                <w:szCs w:val="24"/>
              </w:rPr>
              <w:t>februāra</w:t>
            </w:r>
            <w:r w:rsidR="006B0DE2" w:rsidRPr="003A02FF">
              <w:rPr>
                <w:rFonts w:ascii="Times New Roman" w:eastAsia="Times New Roman" w:hAnsi="Times New Roman" w:cs="Times New Roman"/>
                <w:color w:val="000000"/>
                <w:sz w:val="24"/>
                <w:szCs w:val="24"/>
              </w:rPr>
              <w:t xml:space="preserve"> </w:t>
            </w:r>
            <w:r w:rsidRPr="003A02FF">
              <w:rPr>
                <w:rFonts w:ascii="Times New Roman" w:eastAsia="Times New Roman" w:hAnsi="Times New Roman" w:cs="Times New Roman"/>
                <w:color w:val="000000"/>
                <w:sz w:val="24"/>
                <w:szCs w:val="24"/>
              </w:rPr>
              <w:t>Limbažu novada pašvaldības Apvienotā komitejas sēdē</w:t>
            </w:r>
            <w:r w:rsidR="006B0DE2" w:rsidRPr="003A02FF">
              <w:rPr>
                <w:rFonts w:ascii="Times New Roman" w:eastAsia="Times New Roman" w:hAnsi="Times New Roman" w:cs="Times New Roman"/>
                <w:color w:val="000000"/>
                <w:sz w:val="24"/>
                <w:szCs w:val="24"/>
              </w:rPr>
              <w:t>;</w:t>
            </w:r>
          </w:p>
          <w:p w14:paraId="0B1DFAAB" w14:textId="093F6202" w:rsidR="00F97B87" w:rsidRPr="003A02FF" w:rsidRDefault="003A02FF" w:rsidP="006B0DE2">
            <w:pPr>
              <w:autoSpaceDE w:val="0"/>
              <w:adjustRightInd w:val="0"/>
              <w:spacing w:after="0" w:line="240" w:lineRule="auto"/>
              <w:jc w:val="both"/>
              <w:rPr>
                <w:rFonts w:ascii="Times New Roman" w:eastAsia="Times New Roman" w:hAnsi="Times New Roman" w:cs="Times New Roman"/>
                <w:color w:val="000000"/>
                <w:sz w:val="24"/>
                <w:szCs w:val="24"/>
                <w:highlight w:val="yellow"/>
              </w:rPr>
            </w:pPr>
            <w:r w:rsidRPr="003A02FF">
              <w:rPr>
                <w:rFonts w:ascii="Times New Roman" w:eastAsia="Times New Roman" w:hAnsi="Times New Roman" w:cs="Times New Roman"/>
                <w:color w:val="000000"/>
                <w:sz w:val="24"/>
                <w:szCs w:val="24"/>
              </w:rPr>
              <w:t>2</w:t>
            </w:r>
            <w:r w:rsidR="006B0DE2" w:rsidRPr="003A02FF">
              <w:rPr>
                <w:rFonts w:ascii="Times New Roman" w:eastAsia="Times New Roman" w:hAnsi="Times New Roman" w:cs="Times New Roman"/>
                <w:color w:val="000000"/>
                <w:sz w:val="24"/>
                <w:szCs w:val="24"/>
              </w:rPr>
              <w:t>. 202</w:t>
            </w:r>
            <w:r w:rsidRPr="003A02FF">
              <w:rPr>
                <w:rFonts w:ascii="Times New Roman" w:eastAsia="Times New Roman" w:hAnsi="Times New Roman" w:cs="Times New Roman"/>
                <w:color w:val="000000"/>
                <w:sz w:val="24"/>
                <w:szCs w:val="24"/>
              </w:rPr>
              <w:t>2</w:t>
            </w:r>
            <w:r w:rsidR="006B0DE2" w:rsidRPr="003A02FF">
              <w:rPr>
                <w:rFonts w:ascii="Times New Roman" w:eastAsia="Times New Roman" w:hAnsi="Times New Roman" w:cs="Times New Roman"/>
                <w:color w:val="000000"/>
                <w:sz w:val="24"/>
                <w:szCs w:val="24"/>
              </w:rPr>
              <w:t xml:space="preserve">. gada </w:t>
            </w:r>
            <w:r w:rsidRPr="003A02FF">
              <w:rPr>
                <w:rFonts w:ascii="Times New Roman" w:eastAsia="Times New Roman" w:hAnsi="Times New Roman" w:cs="Times New Roman"/>
                <w:color w:val="000000"/>
                <w:sz w:val="24"/>
                <w:szCs w:val="24"/>
              </w:rPr>
              <w:t>24. februāra</w:t>
            </w:r>
            <w:r w:rsidR="006B0DE2" w:rsidRPr="003A02FF">
              <w:rPr>
                <w:rFonts w:ascii="Times New Roman" w:eastAsia="Times New Roman" w:hAnsi="Times New Roman" w:cs="Times New Roman"/>
                <w:color w:val="000000"/>
                <w:sz w:val="24"/>
                <w:szCs w:val="24"/>
              </w:rPr>
              <w:t xml:space="preserve"> </w:t>
            </w:r>
            <w:r w:rsidRPr="003A02FF">
              <w:rPr>
                <w:rFonts w:ascii="Times New Roman" w:eastAsia="Times New Roman" w:hAnsi="Times New Roman" w:cs="Times New Roman"/>
                <w:color w:val="000000"/>
                <w:sz w:val="24"/>
                <w:szCs w:val="24"/>
              </w:rPr>
              <w:t>Limbažu novada domes sēdē.</w:t>
            </w:r>
          </w:p>
        </w:tc>
      </w:tr>
      <w:tr w:rsidR="00F97B87" w:rsidRPr="00BD2866" w14:paraId="2C9C35A1" w14:textId="77777777" w:rsidTr="00313844">
        <w:trPr>
          <w:trHeight w:val="1232"/>
        </w:trPr>
        <w:tc>
          <w:tcPr>
            <w:tcW w:w="4694" w:type="dxa"/>
            <w:tcBorders>
              <w:top w:val="single" w:sz="4" w:space="0" w:color="auto"/>
              <w:left w:val="single" w:sz="4" w:space="0" w:color="auto"/>
              <w:bottom w:val="single" w:sz="4" w:space="0" w:color="auto"/>
              <w:right w:val="single" w:sz="4" w:space="0" w:color="auto"/>
            </w:tcBorders>
          </w:tcPr>
          <w:p w14:paraId="08D0E387" w14:textId="77777777" w:rsidR="00F97B87" w:rsidRPr="00BD2866" w:rsidRDefault="00F97B87" w:rsidP="00313844">
            <w:pPr>
              <w:autoSpaceDE w:val="0"/>
              <w:adjustRightInd w:val="0"/>
              <w:spacing w:after="0" w:line="240" w:lineRule="auto"/>
              <w:rPr>
                <w:rFonts w:ascii="Times New Roman" w:eastAsia="Times New Roman" w:hAnsi="Times New Roman" w:cs="Times New Roman"/>
                <w:b/>
                <w:sz w:val="24"/>
                <w:szCs w:val="24"/>
              </w:rPr>
            </w:pPr>
            <w:r w:rsidRPr="00BD2866">
              <w:rPr>
                <w:rFonts w:ascii="Times New Roman" w:eastAsia="Times New Roman" w:hAnsi="Times New Roman" w:cs="Times New Roman"/>
                <w:sz w:val="24"/>
                <w:szCs w:val="24"/>
              </w:rPr>
              <w:lastRenderedPageBreak/>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59FBD160" w14:textId="09D14264" w:rsidR="00F97B87" w:rsidRPr="00BD2866" w:rsidRDefault="006B0DE2" w:rsidP="00313844">
            <w:pPr>
              <w:autoSpaceDE w:val="0"/>
              <w:adjustRightInd w:val="0"/>
              <w:spacing w:after="0" w:line="240" w:lineRule="auto"/>
              <w:jc w:val="both"/>
              <w:rPr>
                <w:rFonts w:ascii="Times New Roman" w:eastAsia="Times New Roman" w:hAnsi="Times New Roman" w:cs="Times New Roman"/>
                <w:b/>
                <w:color w:val="000000"/>
                <w:sz w:val="24"/>
                <w:szCs w:val="24"/>
              </w:rPr>
            </w:pPr>
            <w:r w:rsidRPr="006B0DE2">
              <w:rPr>
                <w:rFonts w:ascii="Times New Roman" w:eastAsia="Times New Roman" w:hAnsi="Times New Roman" w:cs="Times New Roman"/>
                <w:color w:val="000000"/>
                <w:sz w:val="24"/>
                <w:szCs w:val="24"/>
              </w:rPr>
              <w:t xml:space="preserve">Saistošie noteikumi izstrādāti, pamatojoties uz </w:t>
            </w:r>
            <w:r w:rsidR="005A7B79">
              <w:rPr>
                <w:rFonts w:ascii="Times New Roman" w:eastAsia="Times New Roman" w:hAnsi="Times New Roman" w:cs="Times New Roman"/>
                <w:color w:val="000000"/>
                <w:sz w:val="24"/>
                <w:szCs w:val="24"/>
              </w:rPr>
              <w:t>Limbažu</w:t>
            </w:r>
            <w:r w:rsidRPr="006B0DE2">
              <w:rPr>
                <w:rFonts w:ascii="Times New Roman" w:eastAsia="Times New Roman" w:hAnsi="Times New Roman" w:cs="Times New Roman"/>
                <w:color w:val="000000"/>
                <w:sz w:val="24"/>
                <w:szCs w:val="24"/>
              </w:rPr>
              <w:t xml:space="preserve"> pilsētas domes organizēto iedzīvotāju aptauju rezultātiem saistībā ar azartspēļu organizēšanu </w:t>
            </w:r>
            <w:r w:rsidR="005A7B79">
              <w:rPr>
                <w:rFonts w:ascii="Times New Roman" w:eastAsia="Times New Roman" w:hAnsi="Times New Roman" w:cs="Times New Roman"/>
                <w:color w:val="000000"/>
                <w:sz w:val="24"/>
                <w:szCs w:val="24"/>
              </w:rPr>
              <w:t>Limbažu novadā.</w:t>
            </w:r>
          </w:p>
        </w:tc>
      </w:tr>
    </w:tbl>
    <w:p w14:paraId="7FC22E96" w14:textId="77777777" w:rsidR="00F97B87" w:rsidRDefault="00F97B87" w:rsidP="00F97B87">
      <w:pPr>
        <w:spacing w:after="0" w:line="240" w:lineRule="auto"/>
        <w:ind w:left="-851" w:firstLine="890"/>
        <w:rPr>
          <w:rFonts w:ascii="Times New Roman" w:eastAsia="Times New Roman" w:hAnsi="Times New Roman" w:cs="Times New Roman"/>
          <w:sz w:val="24"/>
          <w:szCs w:val="24"/>
        </w:rPr>
      </w:pPr>
    </w:p>
    <w:p w14:paraId="5B94DA82" w14:textId="77777777" w:rsidR="009B2184" w:rsidRPr="00BD2866" w:rsidRDefault="009B2184" w:rsidP="00F97B87">
      <w:pPr>
        <w:spacing w:after="0" w:line="240" w:lineRule="auto"/>
        <w:ind w:left="-851" w:firstLine="890"/>
        <w:rPr>
          <w:rFonts w:ascii="Times New Roman" w:eastAsia="Times New Roman" w:hAnsi="Times New Roman" w:cs="Times New Roman"/>
          <w:sz w:val="24"/>
          <w:szCs w:val="24"/>
        </w:rPr>
      </w:pPr>
    </w:p>
    <w:p w14:paraId="57822D2C" w14:textId="77777777" w:rsidR="00F97B87" w:rsidRPr="00BD2866" w:rsidRDefault="00F97B87" w:rsidP="00F97B87">
      <w:pPr>
        <w:spacing w:after="0" w:line="240" w:lineRule="auto"/>
        <w:rPr>
          <w:rFonts w:ascii="Times New Roman" w:eastAsia="Times New Roman" w:hAnsi="Times New Roman" w:cs="Times New Roman"/>
          <w:sz w:val="24"/>
          <w:szCs w:val="24"/>
        </w:rPr>
      </w:pPr>
      <w:r w:rsidRPr="00BD2866">
        <w:rPr>
          <w:rFonts w:ascii="Times New Roman" w:eastAsia="Times New Roman" w:hAnsi="Times New Roman" w:cs="Times New Roman"/>
          <w:sz w:val="24"/>
          <w:szCs w:val="24"/>
        </w:rPr>
        <w:t>Limbažu novada pašvaldības</w:t>
      </w:r>
    </w:p>
    <w:p w14:paraId="421D408A" w14:textId="7339C02A" w:rsidR="00C53F54" w:rsidRDefault="00F97B87" w:rsidP="002B54F2">
      <w:pPr>
        <w:spacing w:after="0" w:line="240" w:lineRule="auto"/>
        <w:rPr>
          <w:rFonts w:ascii="Times New Roman" w:eastAsia="Times New Roman" w:hAnsi="Times New Roman" w:cs="Times New Roman"/>
          <w:sz w:val="24"/>
          <w:szCs w:val="24"/>
        </w:rPr>
      </w:pPr>
      <w:r w:rsidRPr="00BD2866">
        <w:rPr>
          <w:rFonts w:ascii="Times New Roman" w:eastAsia="Times New Roman" w:hAnsi="Times New Roman" w:cs="Times New Roman"/>
          <w:sz w:val="24"/>
          <w:szCs w:val="24"/>
        </w:rPr>
        <w:t xml:space="preserve">Domes priekšsēdētājs                                                                                                   D. </w:t>
      </w:r>
      <w:proofErr w:type="spellStart"/>
      <w:r w:rsidRPr="00BD2866">
        <w:rPr>
          <w:rFonts w:ascii="Times New Roman" w:eastAsia="Times New Roman" w:hAnsi="Times New Roman" w:cs="Times New Roman"/>
          <w:sz w:val="24"/>
          <w:szCs w:val="24"/>
        </w:rPr>
        <w:t>Stra</w:t>
      </w:r>
      <w:r w:rsidR="002B54F2">
        <w:rPr>
          <w:rFonts w:ascii="Times New Roman" w:eastAsia="Times New Roman" w:hAnsi="Times New Roman" w:cs="Times New Roman"/>
          <w:sz w:val="24"/>
          <w:szCs w:val="24"/>
        </w:rPr>
        <w:t>ubergs</w:t>
      </w:r>
      <w:proofErr w:type="spellEnd"/>
    </w:p>
    <w:p w14:paraId="4349DACC" w14:textId="77777777" w:rsidR="00861939" w:rsidRDefault="00861939" w:rsidP="002B54F2">
      <w:pPr>
        <w:spacing w:after="0" w:line="240" w:lineRule="auto"/>
        <w:rPr>
          <w:rFonts w:ascii="Times New Roman" w:eastAsia="Times New Roman" w:hAnsi="Times New Roman" w:cs="Times New Roman"/>
          <w:sz w:val="24"/>
          <w:szCs w:val="24"/>
        </w:rPr>
      </w:pPr>
    </w:p>
    <w:p w14:paraId="1B7BB61A" w14:textId="77777777" w:rsidR="00861939" w:rsidRDefault="00861939" w:rsidP="00861939">
      <w:pPr>
        <w:spacing w:after="0" w:line="240" w:lineRule="auto"/>
        <w:jc w:val="both"/>
        <w:rPr>
          <w:rFonts w:ascii="Times New Roman" w:eastAsia="Calibri" w:hAnsi="Times New Roman" w:cs="Times New Roman"/>
          <w:b/>
          <w:sz w:val="18"/>
          <w:szCs w:val="18"/>
        </w:rPr>
      </w:pPr>
    </w:p>
    <w:p w14:paraId="7405C71A" w14:textId="77777777" w:rsidR="00861939" w:rsidRDefault="00861939" w:rsidP="00861939">
      <w:pPr>
        <w:spacing w:after="0" w:line="240" w:lineRule="auto"/>
        <w:jc w:val="both"/>
        <w:rPr>
          <w:rFonts w:ascii="Times New Roman" w:eastAsia="Calibri" w:hAnsi="Times New Roman" w:cs="Times New Roman"/>
          <w:b/>
          <w:sz w:val="18"/>
          <w:szCs w:val="18"/>
        </w:rPr>
      </w:pPr>
    </w:p>
    <w:p w14:paraId="6C82480D" w14:textId="77777777" w:rsidR="00861939" w:rsidRPr="00861939" w:rsidRDefault="00861939" w:rsidP="00861939">
      <w:pPr>
        <w:spacing w:after="0" w:line="240" w:lineRule="auto"/>
        <w:jc w:val="both"/>
        <w:rPr>
          <w:rFonts w:ascii="Times New Roman" w:eastAsia="Calibri" w:hAnsi="Times New Roman" w:cs="Times New Roman"/>
          <w:b/>
          <w:sz w:val="18"/>
          <w:szCs w:val="18"/>
        </w:rPr>
      </w:pPr>
      <w:bookmarkStart w:id="0" w:name="_GoBack"/>
      <w:bookmarkEnd w:id="0"/>
      <w:r w:rsidRPr="00861939">
        <w:rPr>
          <w:rFonts w:ascii="Times New Roman" w:eastAsia="Calibri" w:hAnsi="Times New Roman" w:cs="Times New Roman"/>
          <w:b/>
          <w:sz w:val="18"/>
          <w:szCs w:val="18"/>
        </w:rPr>
        <w:t>ŠIS DOKUMENTS IR PARAKSTĪTS AR DROŠU ELEKTRONISKO PARAKSTU UN SATUR LAIKA ZĪMOGU</w:t>
      </w:r>
    </w:p>
    <w:p w14:paraId="035B9C27" w14:textId="77777777" w:rsidR="00861939" w:rsidRDefault="00861939" w:rsidP="002B54F2">
      <w:pPr>
        <w:spacing w:after="0" w:line="240" w:lineRule="auto"/>
      </w:pPr>
    </w:p>
    <w:sectPr w:rsidR="00861939" w:rsidSect="00861939">
      <w:headerReference w:type="default" r:id="rId10"/>
      <w:headerReference w:type="first" r:id="rId11"/>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353CF1" w14:textId="77777777" w:rsidR="00442461" w:rsidRDefault="00442461" w:rsidP="00B53CD2">
      <w:pPr>
        <w:spacing w:after="0" w:line="240" w:lineRule="auto"/>
      </w:pPr>
      <w:r>
        <w:separator/>
      </w:r>
    </w:p>
  </w:endnote>
  <w:endnote w:type="continuationSeparator" w:id="0">
    <w:p w14:paraId="2AD8AE50" w14:textId="77777777" w:rsidR="00442461" w:rsidRDefault="00442461" w:rsidP="00B53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RimHelvetica">
    <w:altName w:val="Arial"/>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RobustaTLPro-Regular">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16FF8" w14:textId="77777777" w:rsidR="00442461" w:rsidRDefault="00442461" w:rsidP="00B53CD2">
      <w:pPr>
        <w:spacing w:after="0" w:line="240" w:lineRule="auto"/>
      </w:pPr>
      <w:r>
        <w:separator/>
      </w:r>
    </w:p>
  </w:footnote>
  <w:footnote w:type="continuationSeparator" w:id="0">
    <w:p w14:paraId="2A3CA672" w14:textId="77777777" w:rsidR="00442461" w:rsidRDefault="00442461" w:rsidP="00B53C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9430762"/>
      <w:docPartObj>
        <w:docPartGallery w:val="Page Numbers (Top of Page)"/>
        <w:docPartUnique/>
      </w:docPartObj>
    </w:sdtPr>
    <w:sdtEndPr>
      <w:rPr>
        <w:rFonts w:ascii="Times New Roman" w:hAnsi="Times New Roman" w:cs="Times New Roman"/>
        <w:sz w:val="24"/>
        <w:szCs w:val="24"/>
      </w:rPr>
    </w:sdtEndPr>
    <w:sdtContent>
      <w:p w14:paraId="5616A8F2" w14:textId="6F8BB582" w:rsidR="00861939" w:rsidRPr="00861939" w:rsidRDefault="00861939">
        <w:pPr>
          <w:pStyle w:val="Galvene"/>
          <w:jc w:val="center"/>
          <w:rPr>
            <w:rFonts w:ascii="Times New Roman" w:hAnsi="Times New Roman" w:cs="Times New Roman"/>
            <w:sz w:val="24"/>
            <w:szCs w:val="24"/>
          </w:rPr>
        </w:pPr>
        <w:r w:rsidRPr="00861939">
          <w:rPr>
            <w:rFonts w:ascii="Times New Roman" w:hAnsi="Times New Roman" w:cs="Times New Roman"/>
            <w:sz w:val="24"/>
            <w:szCs w:val="24"/>
          </w:rPr>
          <w:fldChar w:fldCharType="begin"/>
        </w:r>
        <w:r w:rsidRPr="00861939">
          <w:rPr>
            <w:rFonts w:ascii="Times New Roman" w:hAnsi="Times New Roman" w:cs="Times New Roman"/>
            <w:sz w:val="24"/>
            <w:szCs w:val="24"/>
          </w:rPr>
          <w:instrText>PAGE   \* MERGEFORMAT</w:instrText>
        </w:r>
        <w:r w:rsidRPr="00861939">
          <w:rPr>
            <w:rFonts w:ascii="Times New Roman" w:hAnsi="Times New Roman" w:cs="Times New Roman"/>
            <w:sz w:val="24"/>
            <w:szCs w:val="24"/>
          </w:rPr>
          <w:fldChar w:fldCharType="separate"/>
        </w:r>
        <w:r>
          <w:rPr>
            <w:rFonts w:ascii="Times New Roman" w:hAnsi="Times New Roman" w:cs="Times New Roman"/>
            <w:noProof/>
            <w:sz w:val="24"/>
            <w:szCs w:val="24"/>
          </w:rPr>
          <w:t>8</w:t>
        </w:r>
        <w:r w:rsidRPr="00861939">
          <w:rPr>
            <w:rFonts w:ascii="Times New Roman" w:hAnsi="Times New Roman" w:cs="Times New Roman"/>
            <w:sz w:val="24"/>
            <w:szCs w:val="24"/>
          </w:rPr>
          <w:fldChar w:fldCharType="end"/>
        </w:r>
      </w:p>
    </w:sdtContent>
  </w:sdt>
  <w:p w14:paraId="4BAD4B77" w14:textId="77777777" w:rsidR="00861939" w:rsidRDefault="0086193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61320" w14:textId="1E7DF044" w:rsidR="00861939" w:rsidRDefault="00861939" w:rsidP="00861939">
    <w:pPr>
      <w:spacing w:after="0" w:line="240" w:lineRule="auto"/>
      <w:jc w:val="center"/>
      <w:rPr>
        <w:rFonts w:ascii="Times New Roman" w:eastAsia="Times New Roman" w:hAnsi="Times New Roman" w:cs="Times New Roman"/>
        <w:b/>
        <w:bCs/>
        <w:caps/>
        <w:noProof/>
        <w:sz w:val="28"/>
        <w:szCs w:val="28"/>
        <w:lang w:eastAsia="lv-LV"/>
      </w:rPr>
    </w:pPr>
    <w:r w:rsidRPr="00861939">
      <w:rPr>
        <w:rFonts w:ascii="Times New Roman" w:eastAsia="Times New Roman" w:hAnsi="Times New Roman" w:cs="Times New Roman"/>
        <w:caps/>
        <w:noProof/>
        <w:sz w:val="24"/>
        <w:szCs w:val="24"/>
        <w:lang w:eastAsia="lv-LV"/>
      </w:rPr>
      <w:drawing>
        <wp:inline distT="0" distB="0" distL="0" distR="0" wp14:anchorId="60773598" wp14:editId="585000B4">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EB5E0E1" w14:textId="77777777" w:rsidR="00861939" w:rsidRPr="00861939" w:rsidRDefault="00861939" w:rsidP="00861939">
    <w:pPr>
      <w:spacing w:after="0" w:line="240" w:lineRule="auto"/>
      <w:jc w:val="center"/>
      <w:rPr>
        <w:rFonts w:ascii="Times New Roman" w:eastAsia="Times New Roman" w:hAnsi="Times New Roman" w:cs="Times New Roman"/>
        <w:b/>
        <w:bCs/>
        <w:caps/>
        <w:sz w:val="28"/>
        <w:szCs w:val="28"/>
        <w:lang w:eastAsia="lv-LV"/>
      </w:rPr>
    </w:pPr>
    <w:r w:rsidRPr="00861939">
      <w:rPr>
        <w:rFonts w:ascii="Times New Roman" w:eastAsia="Times New Roman" w:hAnsi="Times New Roman" w:cs="Times New Roman"/>
        <w:b/>
        <w:bCs/>
        <w:caps/>
        <w:noProof/>
        <w:sz w:val="28"/>
        <w:szCs w:val="28"/>
        <w:lang w:eastAsia="lv-LV"/>
      </w:rPr>
      <w:t>Limbažu novada DOME</w:t>
    </w:r>
  </w:p>
  <w:p w14:paraId="1280D2B6" w14:textId="77777777" w:rsidR="00861939" w:rsidRPr="00861939" w:rsidRDefault="00861939" w:rsidP="00861939">
    <w:pPr>
      <w:spacing w:after="0" w:line="240" w:lineRule="auto"/>
      <w:jc w:val="center"/>
      <w:rPr>
        <w:rFonts w:ascii="Times New Roman" w:eastAsia="Times New Roman" w:hAnsi="Times New Roman" w:cs="Times New Roman"/>
        <w:sz w:val="18"/>
        <w:szCs w:val="20"/>
        <w:lang w:eastAsia="lv-LV"/>
      </w:rPr>
    </w:pPr>
    <w:proofErr w:type="spellStart"/>
    <w:r w:rsidRPr="00861939">
      <w:rPr>
        <w:rFonts w:ascii="Times New Roman" w:eastAsia="Times New Roman" w:hAnsi="Times New Roman" w:cs="Times New Roman"/>
        <w:sz w:val="18"/>
        <w:szCs w:val="20"/>
        <w:lang w:eastAsia="lv-LV"/>
      </w:rPr>
      <w:t>Reģ</w:t>
    </w:r>
    <w:proofErr w:type="spellEnd"/>
    <w:r w:rsidRPr="00861939">
      <w:rPr>
        <w:rFonts w:ascii="Times New Roman" w:eastAsia="Times New Roman" w:hAnsi="Times New Roman" w:cs="Times New Roman"/>
        <w:sz w:val="18"/>
        <w:szCs w:val="20"/>
        <w:lang w:eastAsia="lv-LV"/>
      </w:rPr>
      <w:t xml:space="preserve">. Nr. </w:t>
    </w:r>
    <w:r w:rsidRPr="00861939">
      <w:rPr>
        <w:rFonts w:ascii="Times New Roman" w:eastAsia="Times New Roman" w:hAnsi="Times New Roman" w:cs="Times New Roman"/>
        <w:noProof/>
        <w:sz w:val="18"/>
        <w:szCs w:val="20"/>
        <w:lang w:eastAsia="lv-LV"/>
      </w:rPr>
      <w:t>90009114631</w:t>
    </w:r>
    <w:r w:rsidRPr="00861939">
      <w:rPr>
        <w:rFonts w:ascii="Times New Roman" w:eastAsia="Times New Roman" w:hAnsi="Times New Roman" w:cs="Times New Roman"/>
        <w:sz w:val="18"/>
        <w:szCs w:val="20"/>
        <w:lang w:eastAsia="lv-LV"/>
      </w:rPr>
      <w:t xml:space="preserve">; </w:t>
    </w:r>
    <w:r w:rsidRPr="00861939">
      <w:rPr>
        <w:rFonts w:ascii="Times New Roman" w:eastAsia="Times New Roman" w:hAnsi="Times New Roman" w:cs="Times New Roman"/>
        <w:noProof/>
        <w:sz w:val="18"/>
        <w:szCs w:val="20"/>
        <w:lang w:eastAsia="lv-LV"/>
      </w:rPr>
      <w:t>Rīgas iela 16, Limbaži, Limbažu novads LV-4001</w:t>
    </w:r>
    <w:r w:rsidRPr="00861939">
      <w:rPr>
        <w:rFonts w:ascii="Times New Roman" w:eastAsia="Times New Roman" w:hAnsi="Times New Roman" w:cs="Times New Roman"/>
        <w:sz w:val="18"/>
        <w:szCs w:val="20"/>
        <w:lang w:eastAsia="lv-LV"/>
      </w:rPr>
      <w:t xml:space="preserve">; </w:t>
    </w:r>
  </w:p>
  <w:p w14:paraId="732041B8" w14:textId="77777777" w:rsidR="00861939" w:rsidRPr="00861939" w:rsidRDefault="00861939" w:rsidP="00861939">
    <w:pPr>
      <w:spacing w:after="0" w:line="240" w:lineRule="auto"/>
      <w:jc w:val="center"/>
      <w:rPr>
        <w:rFonts w:ascii="Times New Roman" w:eastAsia="Times New Roman" w:hAnsi="Times New Roman" w:cs="Times New Roman"/>
        <w:sz w:val="18"/>
        <w:szCs w:val="20"/>
        <w:lang w:eastAsia="lv-LV"/>
      </w:rPr>
    </w:pPr>
    <w:r w:rsidRPr="00861939">
      <w:rPr>
        <w:rFonts w:ascii="Times New Roman" w:eastAsia="Times New Roman" w:hAnsi="Times New Roman" w:cs="Times New Roman"/>
        <w:sz w:val="18"/>
        <w:szCs w:val="20"/>
        <w:lang w:eastAsia="lv-LV"/>
      </w:rPr>
      <w:t>E-pasts</w:t>
    </w:r>
    <w:r w:rsidRPr="00861939">
      <w:rPr>
        <w:rFonts w:ascii="Times New Roman" w:eastAsia="Times New Roman" w:hAnsi="Times New Roman" w:cs="Times New Roman"/>
        <w:iCs/>
        <w:sz w:val="18"/>
        <w:szCs w:val="20"/>
        <w:lang w:eastAsia="lv-LV"/>
      </w:rPr>
      <w:t xml:space="preserve"> </w:t>
    </w:r>
    <w:r w:rsidRPr="00861939">
      <w:rPr>
        <w:rFonts w:ascii="Times New Roman" w:eastAsia="Times New Roman" w:hAnsi="Times New Roman" w:cs="Times New Roman"/>
        <w:iCs/>
        <w:noProof/>
        <w:sz w:val="18"/>
        <w:szCs w:val="20"/>
        <w:lang w:eastAsia="lv-LV"/>
      </w:rPr>
      <w:t>pasts@limbazunovads.lv</w:t>
    </w:r>
    <w:r w:rsidRPr="00861939">
      <w:rPr>
        <w:rFonts w:ascii="Times New Roman" w:eastAsia="Times New Roman" w:hAnsi="Times New Roman" w:cs="Times New Roman"/>
        <w:iCs/>
        <w:sz w:val="18"/>
        <w:szCs w:val="20"/>
        <w:lang w:eastAsia="lv-LV"/>
      </w:rPr>
      <w:t>;</w:t>
    </w:r>
    <w:r w:rsidRPr="00861939">
      <w:rPr>
        <w:rFonts w:ascii="Times New Roman" w:eastAsia="Times New Roman" w:hAnsi="Times New Roman" w:cs="Times New Roman"/>
        <w:sz w:val="18"/>
        <w:szCs w:val="20"/>
        <w:lang w:eastAsia="lv-LV"/>
      </w:rPr>
      <w:t xml:space="preserve"> tālrunis </w:t>
    </w:r>
    <w:r w:rsidRPr="00861939">
      <w:rPr>
        <w:rFonts w:ascii="Times New Roman" w:eastAsia="Times New Roman" w:hAnsi="Times New Roman" w:cs="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42F14"/>
    <w:multiLevelType w:val="multilevel"/>
    <w:tmpl w:val="6F881DE8"/>
    <w:lvl w:ilvl="0">
      <w:start w:val="9"/>
      <w:numFmt w:val="decimal"/>
      <w:lvlText w:val="%1."/>
      <w:lvlJc w:val="left"/>
      <w:pPr>
        <w:ind w:left="786" w:hanging="360"/>
      </w:pPr>
      <w:rPr>
        <w:rFonts w:hint="default"/>
        <w:b w:val="0"/>
        <w:bCs/>
      </w:rPr>
    </w:lvl>
    <w:lvl w:ilvl="1">
      <w:start w:val="1"/>
      <w:numFmt w:val="decimal"/>
      <w:isLgl/>
      <w:lvlText w:val="%1.%2."/>
      <w:lvlJc w:val="left"/>
      <w:pPr>
        <w:ind w:left="710" w:hanging="360"/>
      </w:pPr>
      <w:rPr>
        <w:rFonts w:ascii="Times New Roman" w:hAnsi="Times New Roman" w:cs="Times New Roman" w:hint="default"/>
        <w:b w:val="0"/>
        <w:bCs w:val="0"/>
        <w:sz w:val="22"/>
        <w:szCs w:val="22"/>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15:restartNumberingAfterBreak="0">
    <w:nsid w:val="11190EF1"/>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35B3777"/>
    <w:multiLevelType w:val="hybridMultilevel"/>
    <w:tmpl w:val="E014ED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4727FE9"/>
    <w:multiLevelType w:val="multilevel"/>
    <w:tmpl w:val="5C4AF436"/>
    <w:lvl w:ilvl="0">
      <w:start w:val="13"/>
      <w:numFmt w:val="decimal"/>
      <w:lvlText w:val="%1."/>
      <w:lvlJc w:val="left"/>
      <w:pPr>
        <w:ind w:left="927"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1">
    <w:nsid w:val="1D7076BE"/>
    <w:multiLevelType w:val="hybridMultilevel"/>
    <w:tmpl w:val="6F4C14EC"/>
    <w:lvl w:ilvl="0" w:tplc="E3A0238A">
      <w:start w:val="1"/>
      <w:numFmt w:val="bullet"/>
      <w:lvlText w:val=""/>
      <w:lvlJc w:val="left"/>
      <w:pPr>
        <w:tabs>
          <w:tab w:val="num" w:pos="1440"/>
        </w:tabs>
        <w:ind w:left="1440" w:hanging="360"/>
      </w:pPr>
      <w:rPr>
        <w:rFonts w:ascii="Wingdings" w:hAnsi="Wingdings" w:hint="default"/>
        <w:sz w:val="20"/>
        <w:szCs w:val="20"/>
      </w:rPr>
    </w:lvl>
    <w:lvl w:ilvl="1" w:tplc="C1E400CE">
      <w:start w:val="1"/>
      <w:numFmt w:val="decimal"/>
      <w:lvlText w:val="%2."/>
      <w:lvlJc w:val="left"/>
      <w:pPr>
        <w:tabs>
          <w:tab w:val="num" w:pos="1440"/>
        </w:tabs>
        <w:ind w:left="1440" w:hanging="360"/>
      </w:pPr>
    </w:lvl>
    <w:lvl w:ilvl="2" w:tplc="5D588DD8">
      <w:start w:val="1"/>
      <w:numFmt w:val="decimal"/>
      <w:lvlText w:val="%3."/>
      <w:lvlJc w:val="left"/>
      <w:pPr>
        <w:tabs>
          <w:tab w:val="num" w:pos="2160"/>
        </w:tabs>
        <w:ind w:left="2160" w:hanging="360"/>
      </w:pPr>
    </w:lvl>
    <w:lvl w:ilvl="3" w:tplc="2A1CC9F6">
      <w:start w:val="1"/>
      <w:numFmt w:val="decimal"/>
      <w:lvlText w:val="%4."/>
      <w:lvlJc w:val="left"/>
      <w:pPr>
        <w:tabs>
          <w:tab w:val="num" w:pos="2880"/>
        </w:tabs>
        <w:ind w:left="2880" w:hanging="360"/>
      </w:pPr>
    </w:lvl>
    <w:lvl w:ilvl="4" w:tplc="8A6CD6EA">
      <w:start w:val="1"/>
      <w:numFmt w:val="decimal"/>
      <w:lvlText w:val="%5."/>
      <w:lvlJc w:val="left"/>
      <w:pPr>
        <w:tabs>
          <w:tab w:val="num" w:pos="3600"/>
        </w:tabs>
        <w:ind w:left="3600" w:hanging="360"/>
      </w:pPr>
    </w:lvl>
    <w:lvl w:ilvl="5" w:tplc="618CB48A">
      <w:start w:val="1"/>
      <w:numFmt w:val="decimal"/>
      <w:lvlText w:val="%6."/>
      <w:lvlJc w:val="left"/>
      <w:pPr>
        <w:tabs>
          <w:tab w:val="num" w:pos="4320"/>
        </w:tabs>
        <w:ind w:left="4320" w:hanging="360"/>
      </w:pPr>
    </w:lvl>
    <w:lvl w:ilvl="6" w:tplc="BF0CC910">
      <w:start w:val="1"/>
      <w:numFmt w:val="decimal"/>
      <w:lvlText w:val="%7."/>
      <w:lvlJc w:val="left"/>
      <w:pPr>
        <w:tabs>
          <w:tab w:val="num" w:pos="5040"/>
        </w:tabs>
        <w:ind w:left="5040" w:hanging="360"/>
      </w:pPr>
    </w:lvl>
    <w:lvl w:ilvl="7" w:tplc="F2428F98">
      <w:start w:val="1"/>
      <w:numFmt w:val="decimal"/>
      <w:lvlText w:val="%8."/>
      <w:lvlJc w:val="left"/>
      <w:pPr>
        <w:tabs>
          <w:tab w:val="num" w:pos="5760"/>
        </w:tabs>
        <w:ind w:left="5760" w:hanging="360"/>
      </w:pPr>
    </w:lvl>
    <w:lvl w:ilvl="8" w:tplc="2CA073BC">
      <w:start w:val="1"/>
      <w:numFmt w:val="decimal"/>
      <w:lvlText w:val="%9."/>
      <w:lvlJc w:val="left"/>
      <w:pPr>
        <w:tabs>
          <w:tab w:val="num" w:pos="6480"/>
        </w:tabs>
        <w:ind w:left="6480" w:hanging="360"/>
      </w:pPr>
    </w:lvl>
  </w:abstractNum>
  <w:abstractNum w:abstractNumId="5" w15:restartNumberingAfterBreak="0">
    <w:nsid w:val="1E0B3B0F"/>
    <w:multiLevelType w:val="hybridMultilevel"/>
    <w:tmpl w:val="C8E455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3727C00"/>
    <w:multiLevelType w:val="hybridMultilevel"/>
    <w:tmpl w:val="D1E26812"/>
    <w:lvl w:ilvl="0" w:tplc="3228B2C2">
      <w:numFmt w:val="bullet"/>
      <w:lvlText w:val="-"/>
      <w:lvlJc w:val="left"/>
      <w:pPr>
        <w:ind w:left="360" w:hanging="360"/>
      </w:pPr>
      <w:rPr>
        <w:rFonts w:ascii="RimHelvetica" w:eastAsia="Times New Roman" w:hAnsi="RimHelvetica"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30BE2B62"/>
    <w:multiLevelType w:val="multilevel"/>
    <w:tmpl w:val="C9C06BE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18F084C"/>
    <w:multiLevelType w:val="multilevel"/>
    <w:tmpl w:val="B700FEE2"/>
    <w:lvl w:ilvl="0">
      <w:start w:val="1"/>
      <w:numFmt w:val="decimal"/>
      <w:lvlText w:val="%1."/>
      <w:lvlJc w:val="left"/>
      <w:pPr>
        <w:ind w:left="720" w:hanging="360"/>
      </w:pPr>
      <w:rPr>
        <w:rFonts w:hint="default"/>
        <w:b w:val="0"/>
        <w:bCs w:val="0"/>
        <w:i w:val="0"/>
        <w:iCs w:val="0"/>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57C0DE9"/>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B33605E"/>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4A0B2F"/>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C04206"/>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D5A2D24"/>
    <w:multiLevelType w:val="hybridMultilevel"/>
    <w:tmpl w:val="D08ABA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257237D"/>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A41859"/>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39D7507"/>
    <w:multiLevelType w:val="hybridMultilevel"/>
    <w:tmpl w:val="DAFC71F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55EE4F22"/>
    <w:multiLevelType w:val="multilevel"/>
    <w:tmpl w:val="18D06106"/>
    <w:lvl w:ilvl="0">
      <w:start w:val="1"/>
      <w:numFmt w:val="decimal"/>
      <w:lvlText w:val="%1."/>
      <w:lvlJc w:val="left"/>
      <w:pPr>
        <w:ind w:left="360" w:hanging="360"/>
      </w:pPr>
      <w:rPr>
        <w:b w:val="0"/>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7231008"/>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7D43345"/>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DA25B77"/>
    <w:multiLevelType w:val="multilevel"/>
    <w:tmpl w:val="65968894"/>
    <w:lvl w:ilvl="0">
      <w:start w:val="13"/>
      <w:numFmt w:val="decimal"/>
      <w:lvlText w:val="%1."/>
      <w:lvlJc w:val="left"/>
      <w:pPr>
        <w:ind w:left="360" w:hanging="360"/>
      </w:pPr>
      <w:rPr>
        <w:rFonts w:hint="default"/>
      </w:rPr>
    </w:lvl>
    <w:lvl w:ilvl="1">
      <w:start w:val="2"/>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69385EF1"/>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0E02056"/>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1407F57"/>
    <w:multiLevelType w:val="multilevel"/>
    <w:tmpl w:val="6F881DE8"/>
    <w:lvl w:ilvl="0">
      <w:start w:val="9"/>
      <w:numFmt w:val="decimal"/>
      <w:lvlText w:val="%1."/>
      <w:lvlJc w:val="left"/>
      <w:pPr>
        <w:ind w:left="502" w:hanging="360"/>
      </w:pPr>
      <w:rPr>
        <w:rFonts w:hint="default"/>
        <w:b w:val="0"/>
        <w:bCs/>
      </w:rPr>
    </w:lvl>
    <w:lvl w:ilvl="1">
      <w:start w:val="1"/>
      <w:numFmt w:val="decimal"/>
      <w:isLgl/>
      <w:lvlText w:val="%1.%2."/>
      <w:lvlJc w:val="left"/>
      <w:pPr>
        <w:ind w:left="426" w:hanging="360"/>
      </w:pPr>
      <w:rPr>
        <w:rFonts w:ascii="Times New Roman" w:hAnsi="Times New Roman" w:cs="Times New Roman" w:hint="default"/>
        <w:b w:val="0"/>
        <w:bCs w:val="0"/>
        <w:sz w:val="22"/>
        <w:szCs w:val="22"/>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74D678E3"/>
    <w:multiLevelType w:val="hybridMultilevel"/>
    <w:tmpl w:val="274ABDDE"/>
    <w:lvl w:ilvl="0" w:tplc="0426000F">
      <w:start w:val="1"/>
      <w:numFmt w:val="decimal"/>
      <w:lvlText w:val="%1."/>
      <w:lvlJc w:val="left"/>
      <w:pPr>
        <w:ind w:left="1080" w:hanging="360"/>
      </w:p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75C90227"/>
    <w:multiLevelType w:val="multilevel"/>
    <w:tmpl w:val="84AC5844"/>
    <w:lvl w:ilvl="0">
      <w:start w:val="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8E67105"/>
    <w:multiLevelType w:val="hybridMultilevel"/>
    <w:tmpl w:val="5A7EF4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EC656AC"/>
    <w:multiLevelType w:val="multilevel"/>
    <w:tmpl w:val="18D06106"/>
    <w:lvl w:ilvl="0">
      <w:start w:val="1"/>
      <w:numFmt w:val="decimal"/>
      <w:lvlText w:val="%1."/>
      <w:lvlJc w:val="left"/>
      <w:pPr>
        <w:ind w:left="360" w:hanging="360"/>
      </w:pPr>
      <w:rPr>
        <w:b w:val="0"/>
      </w:rPr>
    </w:lvl>
    <w:lvl w:ilvl="1">
      <w:start w:val="1"/>
      <w:numFmt w:val="decimal"/>
      <w:isLgl/>
      <w:lvlText w:val="%1.%2."/>
      <w:lvlJc w:val="left"/>
      <w:pPr>
        <w:ind w:left="716" w:hanging="432"/>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7"/>
  </w:num>
  <w:num w:numId="2">
    <w:abstractNumId w:val="24"/>
  </w:num>
  <w:num w:numId="3">
    <w:abstractNumId w:val="25"/>
  </w:num>
  <w:num w:numId="4">
    <w:abstractNumId w:val="11"/>
  </w:num>
  <w:num w:numId="5">
    <w:abstractNumId w:val="10"/>
  </w:num>
  <w:num w:numId="6">
    <w:abstractNumId w:val="12"/>
  </w:num>
  <w:num w:numId="7">
    <w:abstractNumId w:val="9"/>
  </w:num>
  <w:num w:numId="8">
    <w:abstractNumId w:val="8"/>
  </w:num>
  <w:num w:numId="9">
    <w:abstractNumId w:val="26"/>
  </w:num>
  <w:num w:numId="10">
    <w:abstractNumId w:val="0"/>
  </w:num>
  <w:num w:numId="11">
    <w:abstractNumId w:val="3"/>
  </w:num>
  <w:num w:numId="12">
    <w:abstractNumId w:val="20"/>
  </w:num>
  <w:num w:numId="13">
    <w:abstractNumId w:val="14"/>
  </w:num>
  <w:num w:numId="14">
    <w:abstractNumId w:val="21"/>
  </w:num>
  <w:num w:numId="15">
    <w:abstractNumId w:val="13"/>
  </w:num>
  <w:num w:numId="16">
    <w:abstractNumId w:val="1"/>
  </w:num>
  <w:num w:numId="17">
    <w:abstractNumId w:val="22"/>
  </w:num>
  <w:num w:numId="18">
    <w:abstractNumId w:val="15"/>
  </w:num>
  <w:num w:numId="19">
    <w:abstractNumId w:val="18"/>
  </w:num>
  <w:num w:numId="20">
    <w:abstractNumId w:val="19"/>
  </w:num>
  <w:num w:numId="21">
    <w:abstractNumId w:val="6"/>
  </w:num>
  <w:num w:numId="22">
    <w:abstractNumId w:val="7"/>
  </w:num>
  <w:num w:numId="23">
    <w:abstractNumId w:val="5"/>
  </w:num>
  <w:num w:numId="24">
    <w:abstractNumId w:val="17"/>
  </w:num>
  <w:num w:numId="25">
    <w:abstractNumId w:val="23"/>
  </w:num>
  <w:num w:numId="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451"/>
    <w:rsid w:val="00062123"/>
    <w:rsid w:val="00090EE9"/>
    <w:rsid w:val="00182BDB"/>
    <w:rsid w:val="002B54F2"/>
    <w:rsid w:val="002C33BE"/>
    <w:rsid w:val="003A02FF"/>
    <w:rsid w:val="003B1668"/>
    <w:rsid w:val="00416FA5"/>
    <w:rsid w:val="00442461"/>
    <w:rsid w:val="005A7B79"/>
    <w:rsid w:val="006223EF"/>
    <w:rsid w:val="006B0DE2"/>
    <w:rsid w:val="00710E2C"/>
    <w:rsid w:val="007209B5"/>
    <w:rsid w:val="00755EB2"/>
    <w:rsid w:val="007F59DE"/>
    <w:rsid w:val="00861939"/>
    <w:rsid w:val="00894451"/>
    <w:rsid w:val="008B068D"/>
    <w:rsid w:val="008E05D5"/>
    <w:rsid w:val="00917451"/>
    <w:rsid w:val="009A38D3"/>
    <w:rsid w:val="009B2184"/>
    <w:rsid w:val="00A24972"/>
    <w:rsid w:val="00AC7E4D"/>
    <w:rsid w:val="00AE38BC"/>
    <w:rsid w:val="00B53CD2"/>
    <w:rsid w:val="00B84F72"/>
    <w:rsid w:val="00C53F54"/>
    <w:rsid w:val="00CF60FE"/>
    <w:rsid w:val="00E32855"/>
    <w:rsid w:val="00F85488"/>
    <w:rsid w:val="00F97B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52ACD"/>
  <w15:chartTrackingRefBased/>
  <w15:docId w15:val="{BFD8D847-C4A8-41A6-9B04-3A2297A98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2FF"/>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894451"/>
    <w:pPr>
      <w:ind w:left="720"/>
      <w:contextualSpacing/>
    </w:pPr>
  </w:style>
  <w:style w:type="paragraph" w:styleId="Bezatstarpm">
    <w:name w:val="No Spacing"/>
    <w:uiPriority w:val="1"/>
    <w:qFormat/>
    <w:rsid w:val="00894451"/>
    <w:pPr>
      <w:spacing w:after="0" w:line="240" w:lineRule="auto"/>
    </w:pPr>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894451"/>
    <w:rPr>
      <w:color w:val="0563C1" w:themeColor="hyperlink"/>
      <w:u w:val="single"/>
    </w:rPr>
  </w:style>
  <w:style w:type="character" w:customStyle="1" w:styleId="Neatrisintapieminana1">
    <w:name w:val="Neatrisināta pieminēšana1"/>
    <w:basedOn w:val="Noklusjumarindkopasfonts"/>
    <w:uiPriority w:val="99"/>
    <w:semiHidden/>
    <w:unhideWhenUsed/>
    <w:rsid w:val="00894451"/>
    <w:rPr>
      <w:color w:val="605E5C"/>
      <w:shd w:val="clear" w:color="auto" w:fill="E1DFDD"/>
    </w:rPr>
  </w:style>
  <w:style w:type="paragraph" w:styleId="Paraststmeklis">
    <w:name w:val="Normal (Web)"/>
    <w:basedOn w:val="Parasts"/>
    <w:unhideWhenUsed/>
    <w:rsid w:val="0089445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89445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94451"/>
  </w:style>
  <w:style w:type="paragraph" w:styleId="Kjene">
    <w:name w:val="footer"/>
    <w:basedOn w:val="Parasts"/>
    <w:link w:val="KjeneRakstz"/>
    <w:uiPriority w:val="99"/>
    <w:unhideWhenUsed/>
    <w:rsid w:val="00894451"/>
    <w:pPr>
      <w:tabs>
        <w:tab w:val="center" w:pos="4153"/>
        <w:tab w:val="right" w:pos="8306"/>
      </w:tabs>
      <w:spacing w:after="0" w:line="240" w:lineRule="auto"/>
    </w:pPr>
  </w:style>
  <w:style w:type="character" w:customStyle="1" w:styleId="KjeneRakstz">
    <w:name w:val="Kājene Rakstz."/>
    <w:basedOn w:val="Noklusjumarindkopasfonts"/>
    <w:link w:val="Kjene"/>
    <w:uiPriority w:val="99"/>
    <w:qFormat/>
    <w:rsid w:val="00894451"/>
  </w:style>
  <w:style w:type="paragraph" w:customStyle="1" w:styleId="Default">
    <w:name w:val="Default"/>
    <w:rsid w:val="00E3285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
    <w:name w:val="Unresolved Mention"/>
    <w:basedOn w:val="Noklusjumarindkopasfonts"/>
    <w:uiPriority w:val="99"/>
    <w:semiHidden/>
    <w:unhideWhenUsed/>
    <w:rsid w:val="00E328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atv.tiesa.gov.lv/web/viewer.html?file=/wp-content/uploads/2018/08/2018-17-03_Spriedums.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E23FE-065F-4F2B-A874-53842555E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8</Pages>
  <Words>9275</Words>
  <Characters>5287</Characters>
  <Application>Microsoft Office Word</Application>
  <DocSecurity>0</DocSecurity>
  <Lines>44</Lines>
  <Paragraphs>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Berga</dc:creator>
  <cp:keywords/>
  <dc:description/>
  <cp:lastModifiedBy>Dace Tauriņa</cp:lastModifiedBy>
  <cp:revision>12</cp:revision>
  <cp:lastPrinted>2022-02-15T09:24:00Z</cp:lastPrinted>
  <dcterms:created xsi:type="dcterms:W3CDTF">2022-02-11T06:59:00Z</dcterms:created>
  <dcterms:modified xsi:type="dcterms:W3CDTF">2022-03-02T09:01:00Z</dcterms:modified>
</cp:coreProperties>
</file>