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615850C5" w14:textId="68F7ABD5" w:rsidR="007A4DC3" w:rsidRPr="00BE3525" w:rsidRDefault="007A4DC3" w:rsidP="007A4DC3">
      <w:pPr>
        <w:jc w:val="center"/>
        <w:rPr>
          <w:b/>
          <w:caps/>
        </w:rPr>
      </w:pPr>
      <w:r w:rsidRPr="00BE3525">
        <w:rPr>
          <w:b/>
          <w:caps/>
        </w:rPr>
        <w:t>MEŽA CIRSM</w:t>
      </w:r>
      <w:r w:rsidR="00081D6D">
        <w:rPr>
          <w:b/>
          <w:caps/>
        </w:rPr>
        <w:t>AS</w:t>
      </w:r>
      <w:r w:rsidRPr="00BE3525">
        <w:rPr>
          <w:b/>
          <w:caps/>
        </w:rPr>
        <w:t xml:space="preserve"> ĪPAŠUMĀ</w:t>
      </w:r>
      <w:r w:rsidR="00B967DF">
        <w:rPr>
          <w:b/>
          <w:caps/>
        </w:rPr>
        <w:t xml:space="preserve"> ZVEJNIEKA EZERS</w:t>
      </w:r>
      <w:r w:rsidR="008861B6" w:rsidRPr="00BE3525">
        <w:rPr>
          <w:b/>
          <w:bCs/>
          <w:caps/>
        </w:rPr>
        <w:t>,</w:t>
      </w:r>
      <w:r w:rsidR="00B967DF">
        <w:rPr>
          <w:b/>
          <w:bCs/>
          <w:caps/>
        </w:rPr>
        <w:t xml:space="preserve"> UMURGAS</w:t>
      </w:r>
      <w:r w:rsidR="003955CD" w:rsidRPr="00BE3525">
        <w:rPr>
          <w:b/>
          <w:bCs/>
          <w:caps/>
        </w:rPr>
        <w:t xml:space="preserve"> </w:t>
      </w:r>
      <w:r w:rsidR="00AD236B" w:rsidRPr="00BE3525">
        <w:rPr>
          <w:b/>
          <w:bCs/>
          <w:caps/>
        </w:rPr>
        <w:t xml:space="preserve"> </w:t>
      </w:r>
      <w:r w:rsidRPr="00BE3525">
        <w:rPr>
          <w:b/>
          <w:bCs/>
          <w:caps/>
        </w:rPr>
        <w:t>pagastā, Limbažu novadā,</w:t>
      </w:r>
      <w:r w:rsidR="005B5B7A" w:rsidRPr="00BE3525">
        <w:rPr>
          <w:b/>
          <w:bCs/>
          <w:caps/>
        </w:rPr>
        <w:t xml:space="preserve"> </w:t>
      </w:r>
      <w:r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0D5518DB"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3A63EE">
        <w:t xml:space="preserve"> </w:t>
      </w:r>
      <w:r w:rsidR="00B967DF">
        <w:t>Zvejnieka ezers</w:t>
      </w:r>
      <w:r w:rsidR="00A724F8" w:rsidRPr="00A724F8">
        <w:t xml:space="preserve">, </w:t>
      </w:r>
      <w:r w:rsidR="00B967DF">
        <w:t xml:space="preserve">Umurgas </w:t>
      </w:r>
      <w:r w:rsidR="00A724F8" w:rsidRPr="00A724F8">
        <w:t>pagastā, Limbažu novadā. Īpašuma kadastra Nr.</w:t>
      </w:r>
      <w:r w:rsidR="00B967DF">
        <w:t xml:space="preserve"> 6680 006 0121</w:t>
      </w:r>
      <w:r w:rsidR="003A63EE">
        <w:t>, zemes vienības kadastra apzīmējums</w:t>
      </w:r>
      <w:r w:rsidR="00A724F8" w:rsidRPr="00A724F8">
        <w:t xml:space="preserve"> </w:t>
      </w:r>
      <w:r w:rsidR="00B967DF">
        <w:t xml:space="preserve">6680 006 0121, </w:t>
      </w:r>
      <w:r w:rsidR="00A724F8" w:rsidRPr="00A724F8">
        <w:t xml:space="preserve">1. </w:t>
      </w:r>
      <w:r w:rsidR="003A63EE">
        <w:t xml:space="preserve">kvartāla </w:t>
      </w:r>
      <w:r w:rsidR="00B967DF">
        <w:t>3</w:t>
      </w:r>
      <w:r w:rsidR="00A724F8" w:rsidRPr="00A724F8">
        <w:t xml:space="preserve">.  nogabalā ar cirtes izpildes veidu – kailcirte, izcērtamā platība </w:t>
      </w:r>
      <w:r w:rsidR="00691055">
        <w:t>1,</w:t>
      </w:r>
      <w:r w:rsidR="00F16AC7">
        <w:t>83</w:t>
      </w:r>
      <w:r w:rsidR="00691055">
        <w:t xml:space="preserve"> ha</w:t>
      </w:r>
      <w:r w:rsidR="006D669E" w:rsidRPr="00081D6D">
        <w:t xml:space="preserve">, izcērtamais koksnes apjoms </w:t>
      </w:r>
      <w:r w:rsidR="008A4596">
        <w:t xml:space="preserve">kopā </w:t>
      </w:r>
      <w:r w:rsidR="00B967DF">
        <w:t xml:space="preserve">476,75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4867AB06"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 </w:t>
      </w:r>
      <w:r w:rsidR="008F0951">
        <w:t>2</w:t>
      </w:r>
      <w:r w:rsidR="00C33E02">
        <w:t>4</w:t>
      </w:r>
      <w:r w:rsidR="009773E3" w:rsidRPr="004D5196">
        <w:t xml:space="preserve"> </w:t>
      </w:r>
      <w:r w:rsidR="00C33E02">
        <w:t>1</w:t>
      </w:r>
      <w:r w:rsidR="009773E3" w:rsidRPr="004D5196">
        <w:t>00,00 EUR (</w:t>
      </w:r>
      <w:r w:rsidR="00B967DF">
        <w:t xml:space="preserve">divdesmit </w:t>
      </w:r>
      <w:r w:rsidR="00C33E02">
        <w:t xml:space="preserve">četri </w:t>
      </w:r>
      <w:r w:rsidR="009773E3" w:rsidRPr="004D5196">
        <w:t>tūkstoši</w:t>
      </w:r>
      <w:r w:rsidR="009E656C" w:rsidRPr="004D5196">
        <w:t xml:space="preserve"> </w:t>
      </w:r>
      <w:r w:rsidR="00C33E02">
        <w:t>viens</w:t>
      </w:r>
      <w:r w:rsidR="00B967DF">
        <w:t xml:space="preserve"> </w:t>
      </w:r>
      <w:r w:rsidR="009E656C" w:rsidRPr="004D5196">
        <w:t>simt</w:t>
      </w:r>
      <w:r w:rsidR="00C33E02">
        <w:t>s</w:t>
      </w:r>
      <w:r w:rsidR="009E656C" w:rsidRPr="004D5196">
        <w:t xml:space="preserve"> </w:t>
      </w:r>
      <w:r w:rsidR="00F67C40">
        <w:t xml:space="preserve"> eiro un </w:t>
      </w:r>
      <w:r w:rsidR="009773E3" w:rsidRPr="004D5196">
        <w:t>0</w:t>
      </w:r>
      <w:r w:rsidR="0086278B">
        <w:t>0</w:t>
      </w:r>
      <w:r w:rsidR="009773E3" w:rsidRPr="004D5196">
        <w:t xml:space="preserve"> centi). </w:t>
      </w:r>
    </w:p>
    <w:p w14:paraId="13889CA8" w14:textId="746D606C" w:rsidR="009773E3" w:rsidRPr="009773E3" w:rsidRDefault="009773E3" w:rsidP="004E4905">
      <w:pPr>
        <w:numPr>
          <w:ilvl w:val="1"/>
          <w:numId w:val="7"/>
        </w:numPr>
        <w:ind w:left="567" w:hanging="567"/>
        <w:rPr>
          <w:b/>
        </w:rPr>
      </w:pPr>
      <w:r w:rsidRPr="004D5196">
        <w:t xml:space="preserve">Izsoles solis – </w:t>
      </w:r>
      <w:r w:rsidR="00F67C40">
        <w:t>2</w:t>
      </w:r>
      <w:r w:rsidRPr="004D5196">
        <w:t>00,00 EUR (</w:t>
      </w:r>
      <w:r w:rsidR="00F67C40">
        <w:t>div</w:t>
      </w:r>
      <w:r w:rsidR="009E656C" w:rsidRPr="004D5196">
        <w:t>i</w:t>
      </w:r>
      <w:r w:rsidRPr="004D5196">
        <w:t xml:space="preserve"> simt</w:t>
      </w:r>
      <w:r w:rsidR="009E656C" w:rsidRPr="004D5196">
        <w:t>i</w:t>
      </w:r>
      <w:r w:rsidR="00F67C40">
        <w:t xml:space="preserve"> 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03A9D57A"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730AEF">
        <w:t xml:space="preserve"> 29499639</w:t>
      </w:r>
      <w:bookmarkStart w:id="1" w:name="_GoBack"/>
      <w:bookmarkEnd w:id="1"/>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2" w:name="2"/>
      <w:bookmarkEnd w:id="2"/>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152A879E" w:rsidR="009773E3" w:rsidRPr="009773E3" w:rsidRDefault="009773E3" w:rsidP="002F7DB4">
      <w:pPr>
        <w:numPr>
          <w:ilvl w:val="1"/>
          <w:numId w:val="8"/>
        </w:numPr>
        <w:ind w:left="567" w:hanging="567"/>
        <w:contextualSpacing/>
        <w:rPr>
          <w:color w:val="000000"/>
        </w:rPr>
      </w:pPr>
      <w:r w:rsidRPr="00EA5762">
        <w:t>Visiem pretendentiem, kuri vēlas piedalīties izsolē,  20 (divdesmit)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D5196">
        <w:t xml:space="preserve">cirsmu </w:t>
      </w:r>
      <w:r w:rsidRPr="00EA5762">
        <w:t>izsolei</w:t>
      </w:r>
      <w:r w:rsidR="008764B4" w:rsidRPr="00EA5762">
        <w:t xml:space="preserve"> īpa</w:t>
      </w:r>
      <w:r w:rsidR="00D717D7" w:rsidRPr="00EA5762">
        <w:t>š</w:t>
      </w:r>
      <w:r w:rsidR="008764B4" w:rsidRPr="00EA5762">
        <w:t>umā</w:t>
      </w:r>
      <w:r w:rsidR="00B967DF">
        <w:t xml:space="preserve"> Zvejnieka ezers</w:t>
      </w:r>
      <w:r w:rsidR="00C92B71">
        <w:t xml:space="preserve">, </w:t>
      </w:r>
      <w:r w:rsidR="00B967DF">
        <w:t>Umurga</w:t>
      </w:r>
      <w:r w:rsidR="00C92B71">
        <w:t xml:space="preserve">s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norēķinu kontā: A/S SEB Banka, konta Nr.</w:t>
      </w:r>
      <w:r w:rsidRPr="009773E3">
        <w:rPr>
          <w:color w:val="333333"/>
          <w:shd w:val="clear" w:color="auto" w:fill="FFFFFF"/>
        </w:rPr>
        <w:t xml:space="preserve">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149BA464" w14:textId="68AAA5C8" w:rsidR="009773E3" w:rsidRDefault="009773E3" w:rsidP="009773E3"/>
    <w:p w14:paraId="5102A5C9" w14:textId="77777777" w:rsidR="00C33E02" w:rsidRDefault="00C33E02" w:rsidP="009773E3"/>
    <w:p w14:paraId="2ED48D03" w14:textId="77777777" w:rsidR="00C33E02" w:rsidRDefault="00C33E02"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6FD442F1" w:rsidR="009773E3" w:rsidRPr="009773E3" w:rsidRDefault="00202643" w:rsidP="004E4905">
      <w:pPr>
        <w:numPr>
          <w:ilvl w:val="1"/>
          <w:numId w:val="8"/>
        </w:numPr>
        <w:ind w:left="567" w:hanging="567"/>
      </w:pPr>
      <w:r w:rsidRPr="00202643">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C33E02">
        <w:t>3</w:t>
      </w:r>
      <w:r w:rsidRPr="00EA5762">
        <w:t>.</w:t>
      </w:r>
      <w:r w:rsidR="00EA5762" w:rsidRPr="00EA5762">
        <w:t xml:space="preserve"> </w:t>
      </w:r>
      <w:r w:rsidR="00C92B71">
        <w:t xml:space="preserve">gada </w:t>
      </w:r>
      <w:r w:rsidR="00824E45">
        <w:t xml:space="preserve">5. jūlijā </w:t>
      </w:r>
      <w:r w:rsidRPr="00EA5762">
        <w:t>plkst.13:00 un noslēdzas</w:t>
      </w:r>
      <w:r w:rsidR="008A4596">
        <w:t xml:space="preserve"> </w:t>
      </w:r>
      <w:r w:rsidRPr="00EA5762">
        <w:t>202</w:t>
      </w:r>
      <w:r w:rsidR="00C33E02">
        <w:t>3</w:t>
      </w:r>
      <w:r w:rsidRPr="00EA5762">
        <w:t>.</w:t>
      </w:r>
      <w:r w:rsidR="00EA5762">
        <w:t>gada</w:t>
      </w:r>
      <w:r w:rsidR="00C92B71">
        <w:t xml:space="preserve"> </w:t>
      </w:r>
      <w:r w:rsidR="002D3CF4">
        <w:t xml:space="preserve">4.augustā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lastRenderedPageBreak/>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6109C56A" w:rsidR="009773E3" w:rsidRPr="009773E3" w:rsidRDefault="009773E3" w:rsidP="004E4905">
      <w:pPr>
        <w:numPr>
          <w:ilvl w:val="1"/>
          <w:numId w:val="8"/>
        </w:numPr>
        <w:ind w:left="567" w:hanging="567"/>
      </w:pPr>
      <w:r w:rsidRPr="009773E3">
        <w:t>Izsoles rīkotājs autorizē izsoles pretendentu dalībai izsolē</w:t>
      </w:r>
      <w:r w:rsidR="00C33E02">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3DD3ABC4"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CE5E69">
        <w:t>2</w:t>
      </w:r>
      <w:r w:rsidRPr="009773E3">
        <w:t>00,00 EUR (</w:t>
      </w:r>
      <w:r w:rsidR="00CE5E69">
        <w:t>div</w:t>
      </w:r>
      <w:r w:rsidR="00447DE1">
        <w:t>i</w:t>
      </w:r>
      <w:r w:rsidRPr="009773E3">
        <w:t xml:space="preserve"> si</w:t>
      </w:r>
      <w:r w:rsidRPr="004D5196">
        <w:t>mt</w:t>
      </w:r>
      <w:r w:rsidR="00447DE1" w:rsidRPr="004D5196">
        <w:t>i</w:t>
      </w:r>
      <w:r w:rsidR="00CE5E69">
        <w:t xml:space="preserve"> ei</w:t>
      </w:r>
      <w:r w:rsidRPr="004D5196">
        <w:t>ro</w:t>
      </w:r>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4B1C72FB" w:rsidR="009773E3" w:rsidRPr="009773E3" w:rsidRDefault="009773E3" w:rsidP="004E4905">
      <w:pPr>
        <w:numPr>
          <w:ilvl w:val="1"/>
          <w:numId w:val="8"/>
        </w:numPr>
        <w:ind w:left="567" w:hanging="567"/>
      </w:pPr>
      <w:r w:rsidRPr="009773E3">
        <w:t xml:space="preserve">Izsole noslēdzas </w:t>
      </w:r>
      <w:r w:rsidR="002D3CF4">
        <w:t>30 (trīs</w:t>
      </w:r>
      <w:r w:rsidRPr="009773E3">
        <w:t xml:space="preserve">desmitajā) dienā no Īpašuma izsoles sludinājuma norādītā izsoles sākuma datuma plkst.13:00, bet, ja </w:t>
      </w:r>
      <w:r w:rsidR="002D3CF4">
        <w:t>30 (trīs</w:t>
      </w:r>
      <w:r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lastRenderedPageBreak/>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676CD05D" w14:textId="77777777" w:rsidR="005C46DA" w:rsidRDefault="005C46DA" w:rsidP="00D50CBA">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77777777" w:rsidR="005C46DA" w:rsidRDefault="005C46DA" w:rsidP="00CE5E69">
      <w:pPr>
        <w:pStyle w:val="v1msonormal"/>
        <w:spacing w:before="0" w:beforeAutospacing="0" w:after="0" w:afterAutospacing="0"/>
      </w:pPr>
      <w:r>
        <w:t>Limbažu novada dome iesniegumu izskata 1 (viena) mēneša laikā un par lēmumu paziņo izsoles dalībniekam, kurš pārsūdzējis izsoles komisijas lēmumu.</w:t>
      </w:r>
    </w:p>
    <w:p w14:paraId="0BEE02B3" w14:textId="5938D9CF" w:rsidR="009773E3" w:rsidRDefault="009773E3" w:rsidP="007A4DC3">
      <w:pPr>
        <w:jc w:val="center"/>
        <w:rPr>
          <w:b/>
          <w:caps/>
        </w:rPr>
      </w:pPr>
    </w:p>
    <w:p w14:paraId="230FA791" w14:textId="77777777" w:rsidR="004D3973" w:rsidRDefault="004D3973" w:rsidP="007A4DC3">
      <w:pPr>
        <w:jc w:val="center"/>
        <w:rPr>
          <w:b/>
          <w:caps/>
        </w:rPr>
        <w:sectPr w:rsidR="004D3973" w:rsidSect="00F445C0">
          <w:headerReference w:type="default" r:id="rId13"/>
          <w:pgSz w:w="11906" w:h="16838"/>
          <w:pgMar w:top="1134" w:right="567" w:bottom="1134" w:left="1701" w:header="709" w:footer="709" w:gutter="0"/>
          <w:pgNumType w:start="1"/>
          <w:cols w:space="708"/>
          <w:titlePg/>
          <w:docGrid w:linePitch="360"/>
        </w:sectPr>
      </w:pPr>
    </w:p>
    <w:p w14:paraId="6AC0AC9D" w14:textId="28767790"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77777777" w:rsidR="006F318C" w:rsidRPr="009773E3" w:rsidRDefault="006F318C" w:rsidP="004D3973">
      <w:pPr>
        <w:jc w:val="right"/>
      </w:pPr>
      <w:r w:rsidRPr="009773E3">
        <w:t xml:space="preserve">Limbažu novada pašvaldības kustamās mantas –   </w:t>
      </w:r>
    </w:p>
    <w:p w14:paraId="429C420F" w14:textId="2FE841E7" w:rsidR="007A4DC3" w:rsidRPr="009773E3" w:rsidRDefault="006F318C" w:rsidP="004D3973">
      <w:pPr>
        <w:ind w:left="360"/>
        <w:jc w:val="right"/>
      </w:pPr>
      <w:r w:rsidRPr="004D3973">
        <w:rPr>
          <w:bCs/>
        </w:rPr>
        <w:t>meža cirsmas</w:t>
      </w:r>
      <w:r w:rsidR="00F040DF" w:rsidRPr="004D3973">
        <w:rPr>
          <w:bCs/>
        </w:rPr>
        <w:t xml:space="preserve"> </w:t>
      </w:r>
      <w:r w:rsidRPr="004D3973">
        <w:rPr>
          <w:bCs/>
        </w:rPr>
        <w:t xml:space="preserve"> īpašumā</w:t>
      </w:r>
      <w:r w:rsidR="00B967DF">
        <w:rPr>
          <w:bCs/>
        </w:rPr>
        <w:t xml:space="preserve"> Zvejnieka ezers</w:t>
      </w:r>
      <w:r w:rsidR="00F040DF" w:rsidRPr="004D3973">
        <w:rPr>
          <w:bCs/>
        </w:rPr>
        <w:t>,</w:t>
      </w:r>
      <w:r w:rsidR="00B967DF">
        <w:rPr>
          <w:bCs/>
        </w:rPr>
        <w:t xml:space="preserve"> Umurgas</w:t>
      </w:r>
      <w:r w:rsidR="000A6227" w:rsidRPr="004D3973">
        <w:rPr>
          <w:bCs/>
        </w:rPr>
        <w:t xml:space="preserve"> </w:t>
      </w:r>
      <w:r w:rsidR="00574C91" w:rsidRPr="009773E3">
        <w:t xml:space="preserve"> </w:t>
      </w:r>
      <w:r w:rsidRPr="009773E3">
        <w:t>pagastā, Limbažu novadā,</w:t>
      </w:r>
    </w:p>
    <w:p w14:paraId="78727D8E" w14:textId="605F359B" w:rsidR="006F318C" w:rsidRPr="009773E3" w:rsidRDefault="00CE5E69" w:rsidP="004D3973">
      <w:pPr>
        <w:jc w:val="right"/>
      </w:pPr>
      <w:r>
        <w:t>2</w:t>
      </w:r>
      <w:r w:rsidR="00C33E02">
        <w:t>3</w:t>
      </w:r>
      <w:r>
        <w:t>.</w:t>
      </w:r>
      <w:r w:rsidR="00C33E02">
        <w:t>02</w:t>
      </w:r>
      <w:r>
        <w:t>.202</w:t>
      </w:r>
      <w:r w:rsidR="00C33E02">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2723AA37"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94401">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56517313"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C33E02">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78DE42CC"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C33E02">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B967DF">
        <w:rPr>
          <w:b/>
          <w:bCs/>
        </w:rPr>
        <w:t xml:space="preserve"> ZVEJNIEKA EZERS</w:t>
      </w:r>
      <w:r w:rsidR="00465808" w:rsidRPr="00465808">
        <w:rPr>
          <w:b/>
          <w:bCs/>
        </w:rPr>
        <w:t>,</w:t>
      </w:r>
      <w:r w:rsidRPr="00465808">
        <w:rPr>
          <w:b/>
          <w:bCs/>
        </w:rPr>
        <w:t xml:space="preserve"> kas atrodas</w:t>
      </w:r>
      <w:r w:rsidR="00B967DF">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 2</w:t>
      </w:r>
      <w:r w:rsidR="00B967DF">
        <w:t>7</w:t>
      </w:r>
      <w:r w:rsidR="0050674F" w:rsidRPr="0050674F">
        <w:t xml:space="preserve">. </w:t>
      </w:r>
      <w:r w:rsidR="00CE5E69">
        <w:t>septembr</w:t>
      </w:r>
      <w:r w:rsidR="0050674F" w:rsidRPr="0050674F">
        <w:t>a  apliecinājum</w:t>
      </w:r>
      <w:r w:rsidR="0050674F">
        <w:t>u</w:t>
      </w:r>
      <w:r w:rsidR="0050674F" w:rsidRPr="0050674F">
        <w:t xml:space="preserve"> Nr.15</w:t>
      </w:r>
      <w:r w:rsidR="00CE5E69">
        <w:t>7</w:t>
      </w:r>
      <w:r w:rsidR="00B967DF">
        <w:t>1796</w:t>
      </w:r>
      <w:r w:rsidR="0050674F" w:rsidRPr="0050674F">
        <w:t xml:space="preserve"> koku ciršanai</w:t>
      </w:r>
      <w:r w:rsidR="00465808">
        <w:t>, ī</w:t>
      </w:r>
      <w:r w:rsidR="00465808" w:rsidRPr="00465808">
        <w:t>pašuma kadastra Nr.</w:t>
      </w:r>
      <w:r w:rsidR="00B967DF">
        <w:t xml:space="preserve"> 6680 006 0121</w:t>
      </w:r>
      <w:r w:rsidR="00465808" w:rsidRPr="00465808">
        <w:t>, zemes vienības kadastra apz</w:t>
      </w:r>
      <w:r w:rsidR="00CE5E69">
        <w:t>īmējums</w:t>
      </w:r>
      <w:r w:rsidR="00465808" w:rsidRPr="00465808">
        <w:t xml:space="preserve"> </w:t>
      </w:r>
      <w:r w:rsidR="003560B5">
        <w:t>6680 006 0121</w:t>
      </w:r>
      <w:r w:rsidR="00465808" w:rsidRPr="00465808">
        <w:t xml:space="preserve"> 1. </w:t>
      </w:r>
      <w:r w:rsidR="00CE5E69">
        <w:t>kvartāla</w:t>
      </w:r>
      <w:r w:rsidR="003560B5">
        <w:t xml:space="preserve"> 3</w:t>
      </w:r>
      <w:r w:rsidR="00465808" w:rsidRPr="00465808">
        <w:t xml:space="preserve">.  nogabalā ar cirtes izpildes veidu – kailcirte, izcērtamā platība </w:t>
      </w:r>
      <w:r w:rsidR="00CE5E69">
        <w:t>1,</w:t>
      </w:r>
      <w:r w:rsidR="00F16AC7">
        <w:t>83</w:t>
      </w:r>
      <w:r w:rsidR="00CE5E69">
        <w:t xml:space="preserve"> ha</w:t>
      </w:r>
      <w:r w:rsidR="00465808">
        <w:t>,</w:t>
      </w:r>
      <w:r w:rsidR="00465808" w:rsidRPr="00465808">
        <w:t xml:space="preserve">  izcērtamais koksnes apjoms </w:t>
      </w:r>
      <w:r w:rsidR="003560B5">
        <w:t>476,75</w:t>
      </w:r>
      <w:r w:rsidR="00465808" w:rsidRPr="00465808">
        <w:t xml:space="preserve"> m</w:t>
      </w:r>
      <w:r w:rsidR="00465808" w:rsidRPr="00D0568E">
        <w:rPr>
          <w:vertAlign w:val="superscript"/>
        </w:rPr>
        <w:t>3</w:t>
      </w:r>
      <w:r w:rsidR="00465808">
        <w:t xml:space="preserve"> </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2483312A"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3560B5">
        <w:t>1796</w:t>
      </w:r>
      <w:r w:rsidR="00CE5E69">
        <w:t xml:space="preserve"> </w:t>
      </w:r>
      <w:r w:rsidRPr="009773E3">
        <w:t>kopija uz 1 (vienas) lapas;</w:t>
      </w:r>
    </w:p>
    <w:p w14:paraId="2D070D76" w14:textId="01BC0421" w:rsidR="007A4DC3" w:rsidRPr="009773E3" w:rsidRDefault="00CE5E69" w:rsidP="007A4DC3">
      <w:pPr>
        <w:pStyle w:val="Default"/>
        <w:numPr>
          <w:ilvl w:val="2"/>
          <w:numId w:val="5"/>
        </w:numPr>
        <w:tabs>
          <w:tab w:val="left" w:pos="1560"/>
        </w:tabs>
        <w:ind w:left="0" w:firstLine="709"/>
        <w:jc w:val="both"/>
      </w:pPr>
      <w:r>
        <w:t>2.pielikums – Cirsmas skices</w:t>
      </w:r>
      <w:r w:rsidR="007A4DC3" w:rsidRPr="009773E3">
        <w:t xml:space="preserve"> kopija uz </w:t>
      </w:r>
      <w:r>
        <w:t>1</w:t>
      </w:r>
      <w:r w:rsidR="00750D4E" w:rsidRPr="009773E3">
        <w:t xml:space="preserve"> </w:t>
      </w:r>
      <w:r w:rsidR="007A4DC3" w:rsidRPr="009773E3">
        <w:t xml:space="preserve"> (</w:t>
      </w:r>
      <w:r>
        <w:t>vienas</w:t>
      </w:r>
      <w:r w:rsidR="007A4DC3" w:rsidRPr="009773E3">
        <w:t>) lapas.</w:t>
      </w: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lastRenderedPageBreak/>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8B0DFBC" w:rsidR="007A4DC3" w:rsidRPr="009773E3" w:rsidRDefault="007A4DC3" w:rsidP="00340040">
            <w:r w:rsidRPr="009773E3">
              <w:t>___.___.202</w:t>
            </w:r>
            <w:r w:rsidR="00094401">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4C02AB8F" w:rsidR="007A4DC3" w:rsidRPr="009773E3" w:rsidRDefault="000F7A60" w:rsidP="00340040">
            <w:r w:rsidRPr="009773E3">
              <w:t>___.___.202</w:t>
            </w:r>
            <w:r w:rsidR="00094401">
              <w:t>3</w:t>
            </w:r>
            <w:r w:rsidR="007A4DC3" w:rsidRPr="009773E3">
              <w:t>.</w:t>
            </w:r>
          </w:p>
        </w:tc>
      </w:tr>
    </w:tbl>
    <w:p w14:paraId="69F397EA" w14:textId="77777777" w:rsidR="007A4DC3" w:rsidRPr="009773E3" w:rsidRDefault="007A4DC3" w:rsidP="007A4DC3"/>
    <w:p w14:paraId="0F37E4BA" w14:textId="77777777" w:rsidR="00F445C0" w:rsidRPr="009773E3" w:rsidRDefault="00F445C0" w:rsidP="0074786F">
      <w:pPr>
        <w:tabs>
          <w:tab w:val="left" w:pos="490"/>
        </w:tabs>
        <w:rPr>
          <w:lang w:val="en-GB" w:eastAsia="en-US"/>
        </w:rPr>
        <w:sectPr w:rsidR="00F445C0" w:rsidRPr="009773E3" w:rsidSect="00F445C0">
          <w:pgSz w:w="11906" w:h="16838"/>
          <w:pgMar w:top="1134" w:right="567" w:bottom="1134" w:left="1701" w:header="709" w:footer="709" w:gutter="0"/>
          <w:pgNumType w:start="1"/>
          <w:cols w:space="708"/>
          <w:titlePg/>
          <w:docGrid w:linePitch="360"/>
        </w:sectPr>
      </w:pPr>
      <w:r w:rsidRPr="009773E3">
        <w:rPr>
          <w:lang w:val="en-GB" w:eastAsia="en-US"/>
        </w:rPr>
        <w:tab/>
      </w:r>
    </w:p>
    <w:p w14:paraId="6E4E7162" w14:textId="77777777" w:rsidR="00F445C0" w:rsidRPr="009773E3" w:rsidRDefault="00F445C0" w:rsidP="0074786F">
      <w:pPr>
        <w:tabs>
          <w:tab w:val="left" w:pos="490"/>
        </w:tabs>
        <w:rPr>
          <w:lang w:val="en-GB" w:eastAsia="en-US"/>
        </w:rPr>
      </w:pPr>
    </w:p>
    <w:sectPr w:rsidR="00F445C0" w:rsidRPr="009773E3" w:rsidSect="00F445C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EE7FE" w14:textId="77777777" w:rsidR="00E446C0" w:rsidRDefault="00E446C0" w:rsidP="00C432D4">
      <w:r>
        <w:separator/>
      </w:r>
    </w:p>
  </w:endnote>
  <w:endnote w:type="continuationSeparator" w:id="0">
    <w:p w14:paraId="647246DD" w14:textId="77777777" w:rsidR="00E446C0" w:rsidRDefault="00E446C0"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51741" w14:textId="77777777" w:rsidR="00E446C0" w:rsidRDefault="00E446C0" w:rsidP="00C432D4">
      <w:r>
        <w:separator/>
      </w:r>
    </w:p>
  </w:footnote>
  <w:footnote w:type="continuationSeparator" w:id="0">
    <w:p w14:paraId="32EDA68D" w14:textId="77777777" w:rsidR="00E446C0" w:rsidRDefault="00E446C0"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3709"/>
      <w:docPartObj>
        <w:docPartGallery w:val="Page Numbers (Top of Page)"/>
        <w:docPartUnique/>
      </w:docPartObj>
    </w:sdtPr>
    <w:sdtEndPr/>
    <w:sdtContent>
      <w:p w14:paraId="739CEF73" w14:textId="6316A1E6" w:rsidR="005E6FAA" w:rsidRDefault="005E6FAA">
        <w:pPr>
          <w:pStyle w:val="Galvene"/>
          <w:jc w:val="center"/>
        </w:pPr>
        <w:r>
          <w:fldChar w:fldCharType="begin"/>
        </w:r>
        <w:r>
          <w:instrText>PAGE   \* MERGEFORMAT</w:instrText>
        </w:r>
        <w:r>
          <w:fldChar w:fldCharType="separate"/>
        </w:r>
        <w:r w:rsidR="00730AEF">
          <w:rPr>
            <w:noProof/>
          </w:rPr>
          <w:t>2</w:t>
        </w:r>
        <w:r>
          <w:fldChar w:fldCharType="end"/>
        </w:r>
      </w:p>
    </w:sdtContent>
  </w:sdt>
  <w:p w14:paraId="1E4F59C9" w14:textId="77777777" w:rsidR="005E6FAA" w:rsidRDefault="005E6FA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2189"/>
    <w:rsid w:val="000661EA"/>
    <w:rsid w:val="00070CA9"/>
    <w:rsid w:val="00081D6D"/>
    <w:rsid w:val="00094401"/>
    <w:rsid w:val="0009600B"/>
    <w:rsid w:val="000A6227"/>
    <w:rsid w:val="000A73A8"/>
    <w:rsid w:val="000B7A18"/>
    <w:rsid w:val="000C2289"/>
    <w:rsid w:val="000F27E4"/>
    <w:rsid w:val="000F7A60"/>
    <w:rsid w:val="000F7CBD"/>
    <w:rsid w:val="0011633F"/>
    <w:rsid w:val="00131843"/>
    <w:rsid w:val="001354B6"/>
    <w:rsid w:val="001401F6"/>
    <w:rsid w:val="001536A9"/>
    <w:rsid w:val="001629AD"/>
    <w:rsid w:val="00196F62"/>
    <w:rsid w:val="001B64D2"/>
    <w:rsid w:val="001D5338"/>
    <w:rsid w:val="001F2CC9"/>
    <w:rsid w:val="001F3440"/>
    <w:rsid w:val="00202643"/>
    <w:rsid w:val="0020414D"/>
    <w:rsid w:val="002052A0"/>
    <w:rsid w:val="00207BCB"/>
    <w:rsid w:val="00207E39"/>
    <w:rsid w:val="00224074"/>
    <w:rsid w:val="00271C00"/>
    <w:rsid w:val="002752A1"/>
    <w:rsid w:val="00284D91"/>
    <w:rsid w:val="0029517B"/>
    <w:rsid w:val="002B452D"/>
    <w:rsid w:val="002C7C42"/>
    <w:rsid w:val="002D3CF4"/>
    <w:rsid w:val="002E4AEE"/>
    <w:rsid w:val="002F0927"/>
    <w:rsid w:val="002F6C12"/>
    <w:rsid w:val="002F7DB4"/>
    <w:rsid w:val="00313740"/>
    <w:rsid w:val="00314AB1"/>
    <w:rsid w:val="00320AAB"/>
    <w:rsid w:val="0032112C"/>
    <w:rsid w:val="00327911"/>
    <w:rsid w:val="00327CF7"/>
    <w:rsid w:val="00340D6D"/>
    <w:rsid w:val="0035009D"/>
    <w:rsid w:val="00351A80"/>
    <w:rsid w:val="003560B5"/>
    <w:rsid w:val="00383702"/>
    <w:rsid w:val="003955CD"/>
    <w:rsid w:val="00396161"/>
    <w:rsid w:val="00397EAF"/>
    <w:rsid w:val="003A0B86"/>
    <w:rsid w:val="003A63EE"/>
    <w:rsid w:val="003B285E"/>
    <w:rsid w:val="003B2950"/>
    <w:rsid w:val="003C6581"/>
    <w:rsid w:val="003F4E24"/>
    <w:rsid w:val="0041401D"/>
    <w:rsid w:val="00433742"/>
    <w:rsid w:val="0043703C"/>
    <w:rsid w:val="00447DE1"/>
    <w:rsid w:val="004652CA"/>
    <w:rsid w:val="00465350"/>
    <w:rsid w:val="00465808"/>
    <w:rsid w:val="004A6936"/>
    <w:rsid w:val="004B2C5C"/>
    <w:rsid w:val="004C063E"/>
    <w:rsid w:val="004C1D46"/>
    <w:rsid w:val="004C7390"/>
    <w:rsid w:val="004D07CF"/>
    <w:rsid w:val="004D3973"/>
    <w:rsid w:val="004D5196"/>
    <w:rsid w:val="004E4905"/>
    <w:rsid w:val="004E556B"/>
    <w:rsid w:val="004F7717"/>
    <w:rsid w:val="005029FA"/>
    <w:rsid w:val="00503E3A"/>
    <w:rsid w:val="0050674F"/>
    <w:rsid w:val="00543154"/>
    <w:rsid w:val="00552F85"/>
    <w:rsid w:val="00560C48"/>
    <w:rsid w:val="00566E62"/>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2D91"/>
    <w:rsid w:val="00637D17"/>
    <w:rsid w:val="006456B0"/>
    <w:rsid w:val="00652F5A"/>
    <w:rsid w:val="00655B4D"/>
    <w:rsid w:val="00657632"/>
    <w:rsid w:val="00671977"/>
    <w:rsid w:val="00691055"/>
    <w:rsid w:val="00693F37"/>
    <w:rsid w:val="00694FDB"/>
    <w:rsid w:val="00696113"/>
    <w:rsid w:val="00696EC3"/>
    <w:rsid w:val="006A2002"/>
    <w:rsid w:val="006B1762"/>
    <w:rsid w:val="006B2306"/>
    <w:rsid w:val="006C3E03"/>
    <w:rsid w:val="006C5375"/>
    <w:rsid w:val="006C78FE"/>
    <w:rsid w:val="006D669E"/>
    <w:rsid w:val="006F318C"/>
    <w:rsid w:val="00712CD5"/>
    <w:rsid w:val="00730AEF"/>
    <w:rsid w:val="00741D84"/>
    <w:rsid w:val="007468FD"/>
    <w:rsid w:val="0074786F"/>
    <w:rsid w:val="00750D4E"/>
    <w:rsid w:val="00761176"/>
    <w:rsid w:val="0077141B"/>
    <w:rsid w:val="00775F81"/>
    <w:rsid w:val="007A3506"/>
    <w:rsid w:val="007A4DC3"/>
    <w:rsid w:val="008043A2"/>
    <w:rsid w:val="0080445D"/>
    <w:rsid w:val="0081004A"/>
    <w:rsid w:val="00824E45"/>
    <w:rsid w:val="00843D89"/>
    <w:rsid w:val="008455C2"/>
    <w:rsid w:val="00856CAA"/>
    <w:rsid w:val="0086278B"/>
    <w:rsid w:val="008656A3"/>
    <w:rsid w:val="008747EB"/>
    <w:rsid w:val="008764B4"/>
    <w:rsid w:val="00881517"/>
    <w:rsid w:val="00881BBD"/>
    <w:rsid w:val="008861B6"/>
    <w:rsid w:val="00895D9B"/>
    <w:rsid w:val="00897019"/>
    <w:rsid w:val="008A4596"/>
    <w:rsid w:val="008C0E70"/>
    <w:rsid w:val="008D001C"/>
    <w:rsid w:val="008E370D"/>
    <w:rsid w:val="008E50F5"/>
    <w:rsid w:val="008F0951"/>
    <w:rsid w:val="009069DF"/>
    <w:rsid w:val="00907837"/>
    <w:rsid w:val="00917630"/>
    <w:rsid w:val="0092739D"/>
    <w:rsid w:val="009657A3"/>
    <w:rsid w:val="009773E3"/>
    <w:rsid w:val="0098183B"/>
    <w:rsid w:val="00994EFF"/>
    <w:rsid w:val="00995D81"/>
    <w:rsid w:val="009A410D"/>
    <w:rsid w:val="009C13AE"/>
    <w:rsid w:val="009C78DC"/>
    <w:rsid w:val="009D7401"/>
    <w:rsid w:val="009E5D57"/>
    <w:rsid w:val="009E656C"/>
    <w:rsid w:val="009E6682"/>
    <w:rsid w:val="00A104DF"/>
    <w:rsid w:val="00A139C3"/>
    <w:rsid w:val="00A33A9B"/>
    <w:rsid w:val="00A33D5F"/>
    <w:rsid w:val="00A60434"/>
    <w:rsid w:val="00A724F8"/>
    <w:rsid w:val="00A75555"/>
    <w:rsid w:val="00A87F50"/>
    <w:rsid w:val="00A93A68"/>
    <w:rsid w:val="00AC6C10"/>
    <w:rsid w:val="00AD236B"/>
    <w:rsid w:val="00AD4F6A"/>
    <w:rsid w:val="00AD6524"/>
    <w:rsid w:val="00AE78A3"/>
    <w:rsid w:val="00B1464C"/>
    <w:rsid w:val="00B33A54"/>
    <w:rsid w:val="00B376DF"/>
    <w:rsid w:val="00B43A8E"/>
    <w:rsid w:val="00B85327"/>
    <w:rsid w:val="00B93E02"/>
    <w:rsid w:val="00B967DF"/>
    <w:rsid w:val="00BB2EB3"/>
    <w:rsid w:val="00BD3124"/>
    <w:rsid w:val="00BD3726"/>
    <w:rsid w:val="00BE1B7C"/>
    <w:rsid w:val="00BE3525"/>
    <w:rsid w:val="00BE462F"/>
    <w:rsid w:val="00BE5B61"/>
    <w:rsid w:val="00BF45B3"/>
    <w:rsid w:val="00C33E02"/>
    <w:rsid w:val="00C432D4"/>
    <w:rsid w:val="00C7673B"/>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50CBA"/>
    <w:rsid w:val="00D54AF9"/>
    <w:rsid w:val="00D61E5B"/>
    <w:rsid w:val="00D717D7"/>
    <w:rsid w:val="00D76A53"/>
    <w:rsid w:val="00D87258"/>
    <w:rsid w:val="00DA4145"/>
    <w:rsid w:val="00DA65AD"/>
    <w:rsid w:val="00DB4D10"/>
    <w:rsid w:val="00DB5B97"/>
    <w:rsid w:val="00DC66C5"/>
    <w:rsid w:val="00DE105D"/>
    <w:rsid w:val="00DE294F"/>
    <w:rsid w:val="00DF081D"/>
    <w:rsid w:val="00DF1A2A"/>
    <w:rsid w:val="00E03D67"/>
    <w:rsid w:val="00E07A5B"/>
    <w:rsid w:val="00E26872"/>
    <w:rsid w:val="00E446C0"/>
    <w:rsid w:val="00E54265"/>
    <w:rsid w:val="00E55F2E"/>
    <w:rsid w:val="00E74E4B"/>
    <w:rsid w:val="00E76598"/>
    <w:rsid w:val="00E7661A"/>
    <w:rsid w:val="00EA0EBA"/>
    <w:rsid w:val="00EA5762"/>
    <w:rsid w:val="00EC0D40"/>
    <w:rsid w:val="00EE21A1"/>
    <w:rsid w:val="00EF5187"/>
    <w:rsid w:val="00EF5284"/>
    <w:rsid w:val="00F040DF"/>
    <w:rsid w:val="00F056DB"/>
    <w:rsid w:val="00F16AC7"/>
    <w:rsid w:val="00F20DA8"/>
    <w:rsid w:val="00F32B46"/>
    <w:rsid w:val="00F3483D"/>
    <w:rsid w:val="00F445C0"/>
    <w:rsid w:val="00F47493"/>
    <w:rsid w:val="00F6356E"/>
    <w:rsid w:val="00F66D39"/>
    <w:rsid w:val="00F67C40"/>
    <w:rsid w:val="00FA2699"/>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13717</Words>
  <Characters>7820</Characters>
  <Application>Microsoft Office Word</Application>
  <DocSecurity>0</DocSecurity>
  <Lines>65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6</cp:revision>
  <cp:lastPrinted>2022-09-05T12:13:00Z</cp:lastPrinted>
  <dcterms:created xsi:type="dcterms:W3CDTF">2023-06-16T06:04:00Z</dcterms:created>
  <dcterms:modified xsi:type="dcterms:W3CDTF">2023-06-19T11:22:00Z</dcterms:modified>
</cp:coreProperties>
</file>