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076EC" w14:textId="77777777" w:rsidR="00B00B25" w:rsidRPr="00C022BC" w:rsidRDefault="00B00B25" w:rsidP="00B00B25">
      <w:pPr>
        <w:jc w:val="center"/>
        <w:rPr>
          <w:b/>
          <w:bCs/>
          <w:caps/>
          <w:noProof/>
        </w:rPr>
      </w:pPr>
      <w:bookmarkStart w:id="0" w:name="_Hlk112588510"/>
      <w:bookmarkStart w:id="1" w:name="_Hlk93659003"/>
      <w:r w:rsidRPr="00C022BC">
        <w:rPr>
          <w:caps/>
          <w:noProof/>
        </w:rPr>
        <w:drawing>
          <wp:inline distT="0" distB="0" distL="0" distR="0" wp14:anchorId="2E83340C" wp14:editId="7A707F1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123F2456" w14:textId="77777777" w:rsidR="00B00B25" w:rsidRPr="00C022BC" w:rsidRDefault="00B00B25" w:rsidP="00B00B25">
      <w:pPr>
        <w:jc w:val="center"/>
        <w:rPr>
          <w:b/>
          <w:bCs/>
          <w:caps/>
          <w:sz w:val="28"/>
          <w:szCs w:val="28"/>
        </w:rPr>
      </w:pPr>
      <w:r w:rsidRPr="00C022BC">
        <w:rPr>
          <w:b/>
          <w:bCs/>
          <w:caps/>
          <w:noProof/>
          <w:sz w:val="28"/>
          <w:szCs w:val="28"/>
        </w:rPr>
        <w:t>Limbažu novada DOME</w:t>
      </w:r>
    </w:p>
    <w:p w14:paraId="1B61C099" w14:textId="77777777" w:rsidR="00B00B25" w:rsidRPr="00C022BC" w:rsidRDefault="00B00B25" w:rsidP="00B00B25">
      <w:pPr>
        <w:jc w:val="center"/>
        <w:rPr>
          <w:sz w:val="18"/>
          <w:szCs w:val="18"/>
        </w:rPr>
      </w:pPr>
      <w:proofErr w:type="spellStart"/>
      <w:r w:rsidRPr="00C022BC">
        <w:rPr>
          <w:sz w:val="18"/>
          <w:szCs w:val="18"/>
        </w:rPr>
        <w:t>Reģ</w:t>
      </w:r>
      <w:proofErr w:type="spellEnd"/>
      <w:r w:rsidRPr="00C022BC">
        <w:rPr>
          <w:sz w:val="18"/>
          <w:szCs w:val="18"/>
        </w:rPr>
        <w:t xml:space="preserve">. Nr. </w:t>
      </w:r>
      <w:r w:rsidRPr="00C022BC">
        <w:rPr>
          <w:noProof/>
          <w:sz w:val="18"/>
          <w:szCs w:val="18"/>
        </w:rPr>
        <w:t>90009114631</w:t>
      </w:r>
      <w:r w:rsidRPr="00C022BC">
        <w:rPr>
          <w:sz w:val="18"/>
          <w:szCs w:val="18"/>
        </w:rPr>
        <w:t xml:space="preserve">; </w:t>
      </w:r>
      <w:r w:rsidRPr="00C022BC">
        <w:rPr>
          <w:noProof/>
          <w:sz w:val="18"/>
          <w:szCs w:val="18"/>
        </w:rPr>
        <w:t>Rīgas iela 16, Limbaži, Limbažu novads LV-4001</w:t>
      </w:r>
      <w:r w:rsidRPr="00C022BC">
        <w:rPr>
          <w:sz w:val="18"/>
          <w:szCs w:val="18"/>
        </w:rPr>
        <w:t xml:space="preserve">; </w:t>
      </w:r>
    </w:p>
    <w:p w14:paraId="102680C1" w14:textId="77777777" w:rsidR="00B00B25" w:rsidRPr="00C022BC" w:rsidRDefault="00B00B25" w:rsidP="00B00B25">
      <w:pPr>
        <w:jc w:val="center"/>
        <w:rPr>
          <w:sz w:val="18"/>
          <w:szCs w:val="18"/>
        </w:rPr>
      </w:pPr>
      <w:r w:rsidRPr="00C022BC">
        <w:rPr>
          <w:sz w:val="18"/>
          <w:szCs w:val="18"/>
        </w:rPr>
        <w:t>E-pasts</w:t>
      </w:r>
      <w:r w:rsidRPr="00C022BC">
        <w:rPr>
          <w:iCs/>
          <w:sz w:val="18"/>
          <w:szCs w:val="18"/>
        </w:rPr>
        <w:t xml:space="preserve"> </w:t>
      </w:r>
      <w:r w:rsidRPr="00C022BC">
        <w:rPr>
          <w:iCs/>
          <w:noProof/>
          <w:sz w:val="18"/>
          <w:szCs w:val="18"/>
        </w:rPr>
        <w:t>pasts@limbazunovads.lv</w:t>
      </w:r>
      <w:r w:rsidRPr="00C022BC">
        <w:rPr>
          <w:iCs/>
          <w:sz w:val="18"/>
          <w:szCs w:val="18"/>
        </w:rPr>
        <w:t>;</w:t>
      </w:r>
      <w:r w:rsidRPr="00C022BC">
        <w:rPr>
          <w:sz w:val="18"/>
          <w:szCs w:val="18"/>
        </w:rPr>
        <w:t xml:space="preserve"> tālrunis </w:t>
      </w:r>
      <w:r w:rsidRPr="00C022BC">
        <w:rPr>
          <w:noProof/>
          <w:sz w:val="18"/>
          <w:szCs w:val="18"/>
        </w:rPr>
        <w:t>64023003</w:t>
      </w:r>
    </w:p>
    <w:bookmarkEnd w:id="0"/>
    <w:p w14:paraId="3026376B" w14:textId="77777777" w:rsidR="00B00B25" w:rsidRPr="00C022BC" w:rsidRDefault="00B00B25" w:rsidP="00B00B25">
      <w:pPr>
        <w:jc w:val="right"/>
        <w:rPr>
          <w:b/>
        </w:rPr>
      </w:pPr>
    </w:p>
    <w:p w14:paraId="4528CC67" w14:textId="77777777" w:rsidR="00B00B25" w:rsidRPr="00C022BC" w:rsidRDefault="00B00B25" w:rsidP="00B00B25">
      <w:pPr>
        <w:jc w:val="right"/>
        <w:rPr>
          <w:b/>
        </w:rPr>
      </w:pPr>
      <w:r w:rsidRPr="00C022BC">
        <w:rPr>
          <w:b/>
        </w:rPr>
        <w:t>APSTIPRINĀTS</w:t>
      </w:r>
    </w:p>
    <w:p w14:paraId="49365EAA" w14:textId="77777777" w:rsidR="00B00B25" w:rsidRPr="00C022BC" w:rsidRDefault="00B00B25" w:rsidP="00B00B25">
      <w:pPr>
        <w:jc w:val="right"/>
      </w:pPr>
      <w:r w:rsidRPr="00C022BC">
        <w:t>ar Limbažu novada domes</w:t>
      </w:r>
    </w:p>
    <w:p w14:paraId="45DA7207" w14:textId="17DE2B1B" w:rsidR="00B00B25" w:rsidRPr="00C022BC" w:rsidRDefault="00EE62B8" w:rsidP="00B00B25">
      <w:pPr>
        <w:jc w:val="right"/>
      </w:pPr>
      <w:r>
        <w:t>23</w:t>
      </w:r>
      <w:r w:rsidR="00B00B25">
        <w:t>.</w:t>
      </w:r>
      <w:r>
        <w:t>02</w:t>
      </w:r>
      <w:r w:rsidR="00B00B25" w:rsidRPr="00C022BC">
        <w:t>.202</w:t>
      </w:r>
      <w:r w:rsidR="00B00B25">
        <w:t>3</w:t>
      </w:r>
      <w:r w:rsidR="00B00B25" w:rsidRPr="00C022BC">
        <w:t>. sēdes lēmumu Nr.</w:t>
      </w:r>
      <w:r>
        <w:t>136</w:t>
      </w:r>
    </w:p>
    <w:p w14:paraId="68556150" w14:textId="48E2D6B2" w:rsidR="00B00B25" w:rsidRDefault="00B00B25" w:rsidP="00B00B25">
      <w:pPr>
        <w:jc w:val="right"/>
      </w:pPr>
      <w:r w:rsidRPr="00C022BC">
        <w:t>(protokols Nr.</w:t>
      </w:r>
      <w:r w:rsidR="00EE62B8">
        <w:t>3, 68.</w:t>
      </w:r>
      <w:r w:rsidRPr="00C022BC">
        <w:t>)</w:t>
      </w:r>
    </w:p>
    <w:p w14:paraId="724CB970" w14:textId="0472FBB9" w:rsidR="00B00B25" w:rsidRDefault="00B00B25" w:rsidP="00B00B25">
      <w:pPr>
        <w:jc w:val="right"/>
      </w:pPr>
    </w:p>
    <w:p w14:paraId="4A2F8966" w14:textId="01310804" w:rsidR="00B00B25" w:rsidRPr="001B06A7" w:rsidRDefault="001B06A7" w:rsidP="00B00B25">
      <w:pPr>
        <w:jc w:val="right"/>
        <w:rPr>
          <w:i/>
        </w:rPr>
      </w:pPr>
      <w:r w:rsidRPr="001B06A7">
        <w:rPr>
          <w:i/>
        </w:rPr>
        <w:t xml:space="preserve">GROZĪJUMI izdarīti ar </w:t>
      </w:r>
    </w:p>
    <w:p w14:paraId="173C590D" w14:textId="7EFB4FF3" w:rsidR="001B06A7" w:rsidRDefault="001B06A7" w:rsidP="00B00B25">
      <w:pPr>
        <w:jc w:val="right"/>
        <w:rPr>
          <w:i/>
        </w:rPr>
      </w:pPr>
      <w:r>
        <w:rPr>
          <w:i/>
        </w:rPr>
        <w:t>Limbažu novada domes 28.09.2023. sēdes lēmumu Nr.815 (protokols Nr.11, 107.)</w:t>
      </w:r>
      <w:r w:rsidR="003B2DA0">
        <w:rPr>
          <w:i/>
        </w:rPr>
        <w:t xml:space="preserve"> un</w:t>
      </w:r>
    </w:p>
    <w:p w14:paraId="503E3EC8" w14:textId="5C6F0189" w:rsidR="003B2DA0" w:rsidRDefault="003B2DA0" w:rsidP="003B2DA0">
      <w:pPr>
        <w:jc w:val="right"/>
        <w:rPr>
          <w:i/>
        </w:rPr>
      </w:pPr>
      <w:r>
        <w:rPr>
          <w:i/>
        </w:rPr>
        <w:t xml:space="preserve">Limbažu novada domes </w:t>
      </w:r>
      <w:r>
        <w:rPr>
          <w:i/>
        </w:rPr>
        <w:t>26</w:t>
      </w:r>
      <w:r>
        <w:rPr>
          <w:i/>
        </w:rPr>
        <w:t>.</w:t>
      </w:r>
      <w:r>
        <w:rPr>
          <w:i/>
        </w:rPr>
        <w:t>10</w:t>
      </w:r>
      <w:r>
        <w:rPr>
          <w:i/>
        </w:rPr>
        <w:t>.2023. sēdes lēmumu Nr.</w:t>
      </w:r>
      <w:r>
        <w:rPr>
          <w:i/>
        </w:rPr>
        <w:t>888</w:t>
      </w:r>
      <w:r>
        <w:rPr>
          <w:i/>
        </w:rPr>
        <w:t xml:space="preserve"> (protokols Nr.</w:t>
      </w:r>
      <w:r>
        <w:rPr>
          <w:i/>
        </w:rPr>
        <w:t>13</w:t>
      </w:r>
      <w:r>
        <w:rPr>
          <w:i/>
        </w:rPr>
        <w:t xml:space="preserve">, </w:t>
      </w:r>
      <w:r>
        <w:rPr>
          <w:i/>
        </w:rPr>
        <w:t>57</w:t>
      </w:r>
      <w:r>
        <w:rPr>
          <w:i/>
        </w:rPr>
        <w:t>.)</w:t>
      </w:r>
    </w:p>
    <w:p w14:paraId="4C84202B" w14:textId="77777777" w:rsidR="001B06A7" w:rsidRPr="001B06A7" w:rsidRDefault="001B06A7" w:rsidP="00B00B25">
      <w:pPr>
        <w:jc w:val="right"/>
        <w:rPr>
          <w:i/>
        </w:rPr>
      </w:pPr>
    </w:p>
    <w:p w14:paraId="5A535760" w14:textId="77777777" w:rsidR="009266D9" w:rsidRPr="00E56E70" w:rsidRDefault="009266D9" w:rsidP="009266D9">
      <w:pPr>
        <w:jc w:val="center"/>
        <w:rPr>
          <w:rFonts w:eastAsia="Calibri"/>
          <w:b/>
          <w:bCs/>
          <w:lang w:eastAsia="en-US"/>
        </w:rPr>
      </w:pPr>
      <w:r w:rsidRPr="00E56E70">
        <w:rPr>
          <w:rFonts w:eastAsia="Calibri"/>
          <w:b/>
          <w:bCs/>
          <w:lang w:eastAsia="en-US"/>
        </w:rPr>
        <w:t xml:space="preserve">SATIKSMES DROŠĪBAS KOMISIJAS </w:t>
      </w:r>
    </w:p>
    <w:p w14:paraId="4A4BE8A6" w14:textId="77777777" w:rsidR="009266D9" w:rsidRPr="00E56E70" w:rsidRDefault="009266D9" w:rsidP="009266D9">
      <w:pPr>
        <w:jc w:val="center"/>
        <w:rPr>
          <w:rFonts w:eastAsia="Calibri"/>
          <w:b/>
          <w:bCs/>
          <w:lang w:eastAsia="en-US"/>
        </w:rPr>
      </w:pPr>
      <w:r w:rsidRPr="00E56E70">
        <w:rPr>
          <w:rFonts w:eastAsia="Calibri"/>
          <w:b/>
          <w:bCs/>
          <w:lang w:eastAsia="en-US"/>
        </w:rPr>
        <w:t>NOLIKUMS</w:t>
      </w:r>
    </w:p>
    <w:bookmarkEnd w:id="1"/>
    <w:p w14:paraId="5D28FBEC" w14:textId="77777777" w:rsidR="009266D9" w:rsidRPr="00E56E70" w:rsidRDefault="009266D9" w:rsidP="009266D9">
      <w:pPr>
        <w:suppressAutoHyphens/>
        <w:jc w:val="right"/>
        <w:rPr>
          <w:rFonts w:eastAsia="Calibri"/>
          <w:lang w:eastAsia="ar-SA"/>
        </w:rPr>
      </w:pPr>
    </w:p>
    <w:p w14:paraId="33A1FC92" w14:textId="77777777" w:rsidR="0019147E" w:rsidRDefault="00B00B25" w:rsidP="00B00B25">
      <w:pPr>
        <w:pStyle w:val="Default"/>
        <w:jc w:val="right"/>
        <w:rPr>
          <w:i/>
          <w:color w:val="auto"/>
          <w:sz w:val="22"/>
          <w:szCs w:val="22"/>
        </w:rPr>
      </w:pPr>
      <w:r w:rsidRPr="0019147E">
        <w:rPr>
          <w:i/>
          <w:color w:val="auto"/>
          <w:sz w:val="22"/>
          <w:szCs w:val="22"/>
        </w:rPr>
        <w:t xml:space="preserve">Izdots saskaņā ar </w:t>
      </w:r>
    </w:p>
    <w:p w14:paraId="1BFA160D" w14:textId="43161DBF" w:rsidR="00B00B25" w:rsidRPr="0019147E" w:rsidRDefault="00B00B25" w:rsidP="00B00B25">
      <w:pPr>
        <w:pStyle w:val="Default"/>
        <w:jc w:val="right"/>
        <w:rPr>
          <w:i/>
          <w:color w:val="auto"/>
          <w:sz w:val="22"/>
          <w:szCs w:val="22"/>
        </w:rPr>
      </w:pPr>
      <w:r w:rsidRPr="0019147E">
        <w:rPr>
          <w:i/>
          <w:color w:val="auto"/>
          <w:sz w:val="22"/>
          <w:szCs w:val="22"/>
        </w:rPr>
        <w:t>Pašvaldību likuma 50.panta pirmo daļu,</w:t>
      </w:r>
    </w:p>
    <w:p w14:paraId="3CE88B89" w14:textId="437288E2" w:rsidR="00B00B25" w:rsidRPr="0019147E" w:rsidRDefault="00B00B25" w:rsidP="00B00B25">
      <w:pPr>
        <w:pStyle w:val="Default"/>
        <w:jc w:val="right"/>
        <w:rPr>
          <w:i/>
          <w:color w:val="auto"/>
          <w:sz w:val="22"/>
          <w:szCs w:val="22"/>
        </w:rPr>
      </w:pPr>
      <w:r w:rsidRPr="0019147E">
        <w:rPr>
          <w:i/>
          <w:color w:val="auto"/>
          <w:sz w:val="22"/>
          <w:szCs w:val="22"/>
        </w:rPr>
        <w:t xml:space="preserve">  53.panta pirmo un otro daļu </w:t>
      </w:r>
    </w:p>
    <w:p w14:paraId="20682D7F" w14:textId="77777777" w:rsidR="009266D9" w:rsidRPr="00E56E70" w:rsidRDefault="009266D9" w:rsidP="009266D9">
      <w:pPr>
        <w:spacing w:before="240" w:after="120" w:line="259" w:lineRule="auto"/>
        <w:jc w:val="center"/>
        <w:rPr>
          <w:rFonts w:eastAsia="Calibri"/>
          <w:b/>
          <w:color w:val="000000"/>
          <w:lang w:eastAsia="en-US"/>
        </w:rPr>
      </w:pPr>
      <w:r w:rsidRPr="00E56E70">
        <w:rPr>
          <w:rFonts w:eastAsia="Calibri"/>
          <w:b/>
          <w:color w:val="000000"/>
          <w:lang w:eastAsia="en-US"/>
        </w:rPr>
        <w:t>I. Vispārīgie jautājumi</w:t>
      </w:r>
    </w:p>
    <w:p w14:paraId="57A61E47" w14:textId="5D72D09B" w:rsidR="009266D9" w:rsidRPr="00D71834" w:rsidRDefault="009266D9" w:rsidP="00D71834">
      <w:pPr>
        <w:pStyle w:val="Sarakstarindkopa"/>
        <w:numPr>
          <w:ilvl w:val="0"/>
          <w:numId w:val="4"/>
        </w:numPr>
        <w:ind w:left="397" w:hanging="397"/>
        <w:jc w:val="both"/>
        <w:rPr>
          <w:rFonts w:eastAsia="Calibri"/>
          <w:lang w:eastAsia="en-US"/>
        </w:rPr>
      </w:pPr>
      <w:r w:rsidRPr="00D71834">
        <w:rPr>
          <w:rFonts w:eastAsia="Calibri"/>
          <w:color w:val="000000"/>
          <w:lang w:eastAsia="en-US"/>
        </w:rPr>
        <w:t xml:space="preserve">Šis nolikums nosaka </w:t>
      </w:r>
      <w:r w:rsidR="005D7358" w:rsidRPr="00D71834">
        <w:rPr>
          <w:rFonts w:eastAsia="Calibri"/>
          <w:color w:val="000000"/>
          <w:lang w:eastAsia="en-US"/>
        </w:rPr>
        <w:t>Limbažu</w:t>
      </w:r>
      <w:r w:rsidRPr="00D71834">
        <w:rPr>
          <w:rFonts w:eastAsia="Calibri"/>
          <w:color w:val="000000"/>
          <w:lang w:eastAsia="en-US"/>
        </w:rPr>
        <w:t xml:space="preserve"> novada pašvaldības</w:t>
      </w:r>
      <w:r w:rsidRPr="00D71834">
        <w:rPr>
          <w:rFonts w:eastAsia="Calibri"/>
          <w:bCs/>
          <w:lang w:eastAsia="en-US"/>
        </w:rPr>
        <w:t xml:space="preserve"> Satiksmes drošības</w:t>
      </w:r>
      <w:r w:rsidRPr="00D71834">
        <w:rPr>
          <w:rFonts w:eastAsia="Calibri"/>
          <w:color w:val="000000"/>
          <w:lang w:eastAsia="en-US"/>
        </w:rPr>
        <w:t xml:space="preserve"> komisijas (turpmāk tekstā – Komisija) </w:t>
      </w:r>
      <w:r w:rsidRPr="00D71834">
        <w:rPr>
          <w:rFonts w:eastAsia="Calibri"/>
          <w:lang w:eastAsia="en-US"/>
        </w:rPr>
        <w:t xml:space="preserve">darbības mērķus, kompetenci, tiesības un pienākumus, struktūru, darba organizāciju un atbildību. </w:t>
      </w:r>
    </w:p>
    <w:p w14:paraId="1AE46C07" w14:textId="5E9C0A61" w:rsidR="009266D9" w:rsidRPr="00D71834" w:rsidRDefault="009266D9" w:rsidP="00D71834">
      <w:pPr>
        <w:pStyle w:val="Sarakstarindkopa"/>
        <w:numPr>
          <w:ilvl w:val="0"/>
          <w:numId w:val="4"/>
        </w:numPr>
        <w:tabs>
          <w:tab w:val="left" w:pos="851"/>
        </w:tabs>
        <w:ind w:left="397" w:hanging="397"/>
        <w:jc w:val="both"/>
        <w:rPr>
          <w:rFonts w:eastAsia="Calibri"/>
          <w:lang w:eastAsia="en-US"/>
        </w:rPr>
      </w:pPr>
      <w:r w:rsidRPr="00D71834">
        <w:rPr>
          <w:rFonts w:eastAsia="Calibri"/>
          <w:color w:val="000000"/>
          <w:lang w:eastAsia="en-US"/>
        </w:rPr>
        <w:t xml:space="preserve">Komisijas darbības mērķis ir nodrošināt ceļu satiksmes drošības organizāciju </w:t>
      </w:r>
      <w:r w:rsidR="00035121" w:rsidRPr="00D71834">
        <w:rPr>
          <w:rFonts w:eastAsia="Calibri"/>
          <w:lang w:eastAsia="en-US"/>
        </w:rPr>
        <w:t xml:space="preserve">Limbažu </w:t>
      </w:r>
      <w:r w:rsidRPr="00D71834">
        <w:rPr>
          <w:rFonts w:eastAsia="Calibri"/>
          <w:lang w:eastAsia="en-US"/>
        </w:rPr>
        <w:t>novada administratīvajā teritorijā, tajā skaitā:</w:t>
      </w:r>
    </w:p>
    <w:p w14:paraId="4811010A" w14:textId="2347132A" w:rsidR="009266D9" w:rsidRPr="00E56E70" w:rsidRDefault="009266D9" w:rsidP="00D71834">
      <w:pPr>
        <w:tabs>
          <w:tab w:val="left" w:pos="851"/>
        </w:tabs>
        <w:ind w:left="879" w:hanging="454"/>
        <w:contextualSpacing/>
        <w:jc w:val="both"/>
        <w:rPr>
          <w:rFonts w:eastAsia="Calibri"/>
          <w:lang w:eastAsia="en-US"/>
        </w:rPr>
      </w:pPr>
      <w:r w:rsidRPr="00E56E70">
        <w:rPr>
          <w:rFonts w:eastAsia="Calibri"/>
          <w:lang w:eastAsia="en-US"/>
        </w:rPr>
        <w:t>2.1. noteikt ceļa zīmju izvietojumu, uzraudzīt ceļa zīmju izvietojuma atbilstību ceļu satiksmi regulējošo normatīvo aktu prasībām;</w:t>
      </w:r>
    </w:p>
    <w:p w14:paraId="4F61B4D3" w14:textId="77777777" w:rsidR="009266D9" w:rsidRPr="00E56E70" w:rsidRDefault="009266D9" w:rsidP="00D71834">
      <w:pPr>
        <w:tabs>
          <w:tab w:val="left" w:pos="851"/>
        </w:tabs>
        <w:ind w:left="879" w:hanging="454"/>
        <w:contextualSpacing/>
        <w:jc w:val="both"/>
        <w:rPr>
          <w:rFonts w:eastAsia="Calibri"/>
          <w:lang w:eastAsia="en-US"/>
        </w:rPr>
      </w:pPr>
      <w:r w:rsidRPr="00E56E70">
        <w:rPr>
          <w:rFonts w:eastAsia="Calibri"/>
          <w:lang w:eastAsia="en-US"/>
        </w:rPr>
        <w:t>2.2. noteikt bīstamos ceļu posmus apdzīvotās vietās, organizēt to uzskaiti un riska faktoru novēršanu;</w:t>
      </w:r>
    </w:p>
    <w:p w14:paraId="7262D479" w14:textId="77777777" w:rsidR="009266D9" w:rsidRPr="00E56E70" w:rsidRDefault="009266D9" w:rsidP="00D71834">
      <w:pPr>
        <w:tabs>
          <w:tab w:val="left" w:pos="851"/>
        </w:tabs>
        <w:ind w:left="879" w:hanging="454"/>
        <w:contextualSpacing/>
        <w:jc w:val="both"/>
        <w:rPr>
          <w:rFonts w:eastAsia="Calibri"/>
          <w:lang w:eastAsia="en-US"/>
        </w:rPr>
      </w:pPr>
      <w:r w:rsidRPr="00E56E70">
        <w:rPr>
          <w:rFonts w:eastAsia="Calibri"/>
          <w:lang w:eastAsia="en-US"/>
        </w:rPr>
        <w:t>2.3. veicināt ceļu satiksmes drošības līmeņa paaugstināšanu;</w:t>
      </w:r>
    </w:p>
    <w:p w14:paraId="2F4B8AE3" w14:textId="77777777" w:rsidR="00FC6922" w:rsidRDefault="009266D9" w:rsidP="00D71834">
      <w:pPr>
        <w:tabs>
          <w:tab w:val="left" w:pos="851"/>
        </w:tabs>
        <w:ind w:left="879" w:hanging="454"/>
        <w:contextualSpacing/>
        <w:jc w:val="both"/>
        <w:rPr>
          <w:rFonts w:eastAsia="Calibri"/>
          <w:lang w:eastAsia="en-US"/>
        </w:rPr>
      </w:pPr>
      <w:r w:rsidRPr="00E56E70">
        <w:rPr>
          <w:rFonts w:eastAsia="Calibri"/>
          <w:lang w:eastAsia="en-US"/>
        </w:rPr>
        <w:t>2.4. izskatīt būvniecības projektus saistībā ar transporta kustības organizāciju, sniegt priekšlikumus un atzinumus par minēto projektu atbilstību satiksmes drošības principiem</w:t>
      </w:r>
      <w:r w:rsidR="00FC6922">
        <w:rPr>
          <w:rFonts w:eastAsia="Calibri"/>
          <w:lang w:eastAsia="en-US"/>
        </w:rPr>
        <w:t>;</w:t>
      </w:r>
    </w:p>
    <w:p w14:paraId="547E0D48" w14:textId="78B7099F" w:rsidR="009266D9" w:rsidRPr="00E56E70" w:rsidRDefault="00FC6922" w:rsidP="00D71834">
      <w:pPr>
        <w:tabs>
          <w:tab w:val="left" w:pos="851"/>
        </w:tabs>
        <w:ind w:left="879" w:hanging="454"/>
        <w:contextualSpacing/>
        <w:jc w:val="both"/>
        <w:rPr>
          <w:rFonts w:eastAsia="Calibri"/>
          <w:lang w:eastAsia="en-US"/>
        </w:rPr>
      </w:pPr>
      <w:r>
        <w:rPr>
          <w:rFonts w:eastAsia="Calibri"/>
          <w:lang w:eastAsia="en-US"/>
        </w:rPr>
        <w:t>2.5. pieņemt lēmumus par saņemtajiem iesniegumiem ceļu satiksmes organizēšanai (pielikums).</w:t>
      </w:r>
      <w:r w:rsidR="009266D9" w:rsidRPr="00E56E70">
        <w:rPr>
          <w:rFonts w:eastAsia="Calibri"/>
          <w:lang w:eastAsia="en-US"/>
        </w:rPr>
        <w:t xml:space="preserve"> </w:t>
      </w:r>
    </w:p>
    <w:p w14:paraId="02D06F95" w14:textId="1ED475B1" w:rsidR="009266D9" w:rsidRDefault="003B2DA0" w:rsidP="00D71834">
      <w:pPr>
        <w:pStyle w:val="Sarakstarindkopa"/>
        <w:numPr>
          <w:ilvl w:val="0"/>
          <w:numId w:val="4"/>
        </w:numPr>
        <w:ind w:left="397" w:hanging="397"/>
        <w:jc w:val="both"/>
        <w:rPr>
          <w:rFonts w:eastAsia="Calibri"/>
          <w:lang w:eastAsia="en-US"/>
        </w:rPr>
      </w:pPr>
      <w:r w:rsidRPr="00527487">
        <w:rPr>
          <w:rFonts w:eastAsia="Calibri"/>
          <w:lang w:eastAsia="en-US"/>
        </w:rPr>
        <w:t>Komisiju astoņu locekļu sastāvā izveido ar domes lēmumu, apstiprinot komisijas priekšsēdētāju un priekšsēdētāja vietnieku, kā arī komisijas locekļu vārdisko sastāvu</w:t>
      </w:r>
      <w:r w:rsidR="00035121" w:rsidRPr="00D71834">
        <w:rPr>
          <w:rFonts w:eastAsia="Calibri"/>
          <w:lang w:eastAsia="en-US"/>
        </w:rPr>
        <w:t>.</w:t>
      </w:r>
    </w:p>
    <w:p w14:paraId="03D2E6F8" w14:textId="16CC9FDB" w:rsidR="001B06A7" w:rsidRPr="001B06A7" w:rsidRDefault="001B06A7" w:rsidP="001B06A7">
      <w:pPr>
        <w:jc w:val="both"/>
        <w:rPr>
          <w:rFonts w:eastAsia="Calibri"/>
          <w:i/>
          <w:lang w:eastAsia="en-US"/>
        </w:rPr>
      </w:pPr>
      <w:r>
        <w:rPr>
          <w:i/>
        </w:rPr>
        <w:t xml:space="preserve">(grozījumi </w:t>
      </w:r>
      <w:r w:rsidRPr="001B06A7">
        <w:rPr>
          <w:i/>
        </w:rPr>
        <w:t xml:space="preserve">izdarīti ar </w:t>
      </w:r>
      <w:r w:rsidRPr="001B06A7">
        <w:rPr>
          <w:rFonts w:eastAsia="Calibri"/>
          <w:i/>
          <w:lang w:eastAsia="en-US"/>
        </w:rPr>
        <w:t>Limbažu novada domes 28.09.2023. sēdes lēmumu Nr.815 (protokols Nr.11, 107.)</w:t>
      </w:r>
      <w:r w:rsidR="003B2DA0">
        <w:rPr>
          <w:rFonts w:eastAsia="Calibri"/>
          <w:i/>
          <w:lang w:eastAsia="en-US"/>
        </w:rPr>
        <w:t xml:space="preserve"> un </w:t>
      </w:r>
      <w:r w:rsidR="003B2DA0" w:rsidRPr="001B06A7">
        <w:rPr>
          <w:rFonts w:eastAsia="Calibri"/>
          <w:i/>
          <w:lang w:eastAsia="en-US"/>
        </w:rPr>
        <w:t xml:space="preserve">Limbažu novada domes </w:t>
      </w:r>
      <w:r w:rsidR="003B2DA0">
        <w:rPr>
          <w:rFonts w:eastAsia="Calibri"/>
          <w:i/>
          <w:lang w:eastAsia="en-US"/>
        </w:rPr>
        <w:t>26</w:t>
      </w:r>
      <w:r w:rsidR="003B2DA0" w:rsidRPr="001B06A7">
        <w:rPr>
          <w:rFonts w:eastAsia="Calibri"/>
          <w:i/>
          <w:lang w:eastAsia="en-US"/>
        </w:rPr>
        <w:t>.</w:t>
      </w:r>
      <w:r w:rsidR="003B2DA0">
        <w:rPr>
          <w:rFonts w:eastAsia="Calibri"/>
          <w:i/>
          <w:lang w:eastAsia="en-US"/>
        </w:rPr>
        <w:t>10</w:t>
      </w:r>
      <w:r w:rsidR="003B2DA0" w:rsidRPr="001B06A7">
        <w:rPr>
          <w:rFonts w:eastAsia="Calibri"/>
          <w:i/>
          <w:lang w:eastAsia="en-US"/>
        </w:rPr>
        <w:t>.2023. sēdes lēmumu Nr.</w:t>
      </w:r>
      <w:r w:rsidR="003B2DA0">
        <w:rPr>
          <w:rFonts w:eastAsia="Calibri"/>
          <w:i/>
          <w:lang w:eastAsia="en-US"/>
        </w:rPr>
        <w:t>888</w:t>
      </w:r>
      <w:r w:rsidR="003B2DA0" w:rsidRPr="001B06A7">
        <w:rPr>
          <w:rFonts w:eastAsia="Calibri"/>
          <w:i/>
          <w:lang w:eastAsia="en-US"/>
        </w:rPr>
        <w:t xml:space="preserve"> (protokols Nr.</w:t>
      </w:r>
      <w:r w:rsidR="003B2DA0">
        <w:rPr>
          <w:rFonts w:eastAsia="Calibri"/>
          <w:i/>
          <w:lang w:eastAsia="en-US"/>
        </w:rPr>
        <w:t>13</w:t>
      </w:r>
      <w:r w:rsidR="003B2DA0" w:rsidRPr="001B06A7">
        <w:rPr>
          <w:rFonts w:eastAsia="Calibri"/>
          <w:i/>
          <w:lang w:eastAsia="en-US"/>
        </w:rPr>
        <w:t xml:space="preserve">, </w:t>
      </w:r>
      <w:r w:rsidR="003B2DA0">
        <w:rPr>
          <w:rFonts w:eastAsia="Calibri"/>
          <w:i/>
          <w:lang w:eastAsia="en-US"/>
        </w:rPr>
        <w:t>57</w:t>
      </w:r>
      <w:r w:rsidR="003B2DA0" w:rsidRPr="001B06A7">
        <w:rPr>
          <w:rFonts w:eastAsia="Calibri"/>
          <w:i/>
          <w:lang w:eastAsia="en-US"/>
        </w:rPr>
        <w:t>.)</w:t>
      </w:r>
      <w:r>
        <w:rPr>
          <w:rFonts w:eastAsia="Calibri"/>
          <w:i/>
          <w:lang w:eastAsia="en-US"/>
        </w:rPr>
        <w:t>)</w:t>
      </w:r>
    </w:p>
    <w:p w14:paraId="1155543D" w14:textId="3F2E5381" w:rsidR="009266D9" w:rsidRPr="00D71834" w:rsidRDefault="009266D9" w:rsidP="00D71834">
      <w:pPr>
        <w:pStyle w:val="Sarakstarindkopa"/>
        <w:numPr>
          <w:ilvl w:val="0"/>
          <w:numId w:val="4"/>
        </w:numPr>
        <w:ind w:left="397" w:hanging="397"/>
        <w:jc w:val="both"/>
        <w:rPr>
          <w:rFonts w:eastAsia="Calibri"/>
          <w:lang w:eastAsia="en-US"/>
        </w:rPr>
      </w:pPr>
      <w:r w:rsidRPr="00D71834">
        <w:rPr>
          <w:rFonts w:eastAsia="Calibri"/>
          <w:lang w:eastAsia="en-US"/>
        </w:rPr>
        <w:t xml:space="preserve">Komisija savā darbībā ievēro šo nolikumu, pašvaldības domes lēmumus, saistošos noteikumus, pašvaldības iekšējos normatīvos aktus un citus normatīvos aktus atbilstoši kompetencei. </w:t>
      </w:r>
    </w:p>
    <w:p w14:paraId="118D68FB" w14:textId="77777777" w:rsidR="009266D9" w:rsidRPr="00E56E70" w:rsidRDefault="009266D9" w:rsidP="009266D9">
      <w:pPr>
        <w:jc w:val="both"/>
        <w:rPr>
          <w:rFonts w:eastAsia="Calibri"/>
          <w:lang w:eastAsia="en-US"/>
        </w:rPr>
      </w:pPr>
    </w:p>
    <w:p w14:paraId="79010DDE"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II. Komisijas struktūra, amatpersonu kompetence un atbildība</w:t>
      </w:r>
    </w:p>
    <w:p w14:paraId="387DEFB1" w14:textId="77777777" w:rsidR="009266D9" w:rsidRPr="00E56E70" w:rsidRDefault="009266D9" w:rsidP="009266D9">
      <w:pPr>
        <w:suppressAutoHyphens/>
        <w:jc w:val="center"/>
        <w:rPr>
          <w:rFonts w:eastAsia="Calibri"/>
          <w:b/>
          <w:bCs/>
          <w:lang w:eastAsia="ar-SA"/>
        </w:rPr>
      </w:pPr>
    </w:p>
    <w:p w14:paraId="52611E75" w14:textId="6B751BFC" w:rsidR="009266D9" w:rsidRDefault="003B2DA0" w:rsidP="00D71834">
      <w:pPr>
        <w:pStyle w:val="Sarakstarindkopa"/>
        <w:numPr>
          <w:ilvl w:val="0"/>
          <w:numId w:val="4"/>
        </w:numPr>
        <w:suppressAutoHyphens/>
        <w:ind w:left="397" w:hanging="397"/>
        <w:jc w:val="both"/>
        <w:rPr>
          <w:rFonts w:eastAsia="Calibri"/>
          <w:lang w:eastAsia="ar-SA"/>
        </w:rPr>
      </w:pPr>
      <w:r w:rsidRPr="00527487">
        <w:rPr>
          <w:rFonts w:eastAsia="Calibri"/>
          <w:bCs/>
          <w:lang w:eastAsia="en-US"/>
        </w:rPr>
        <w:t>Komisijas sastāvā ir komisijas priekšsēdētājs, komisijas priekšsēdētāja vietnieks un seši komisijas locekļi</w:t>
      </w:r>
      <w:bookmarkStart w:id="2" w:name="_GoBack"/>
      <w:bookmarkEnd w:id="2"/>
      <w:r w:rsidR="001B06A7">
        <w:rPr>
          <w:rFonts w:eastAsia="Calibri"/>
          <w:lang w:eastAsia="ar-SA"/>
        </w:rPr>
        <w:t>.</w:t>
      </w:r>
    </w:p>
    <w:p w14:paraId="42F79E09" w14:textId="307689C0" w:rsidR="003B2DA0" w:rsidRPr="001B06A7" w:rsidRDefault="001B06A7" w:rsidP="003B2DA0">
      <w:pPr>
        <w:jc w:val="both"/>
        <w:rPr>
          <w:rFonts w:eastAsia="Calibri"/>
          <w:i/>
          <w:lang w:eastAsia="en-US"/>
        </w:rPr>
      </w:pPr>
      <w:r>
        <w:rPr>
          <w:i/>
        </w:rPr>
        <w:lastRenderedPageBreak/>
        <w:t xml:space="preserve">(grozījumi </w:t>
      </w:r>
      <w:r w:rsidRPr="001B06A7">
        <w:rPr>
          <w:i/>
        </w:rPr>
        <w:t xml:space="preserve">izdarīti ar </w:t>
      </w:r>
      <w:r w:rsidRPr="001B06A7">
        <w:rPr>
          <w:rFonts w:eastAsia="Calibri"/>
          <w:i/>
          <w:lang w:eastAsia="en-US"/>
        </w:rPr>
        <w:t>Limbažu novada domes 28.09.2023. sēdes lēmumu Nr.815 (protokols Nr.11, 107.)</w:t>
      </w:r>
      <w:r w:rsidR="003B2DA0" w:rsidRPr="003B2DA0">
        <w:rPr>
          <w:rFonts w:eastAsia="Calibri"/>
          <w:i/>
          <w:lang w:eastAsia="en-US"/>
        </w:rPr>
        <w:t xml:space="preserve"> </w:t>
      </w:r>
      <w:r w:rsidR="003B2DA0">
        <w:rPr>
          <w:rFonts w:eastAsia="Calibri"/>
          <w:i/>
          <w:lang w:eastAsia="en-US"/>
        </w:rPr>
        <w:t xml:space="preserve">un </w:t>
      </w:r>
      <w:r w:rsidR="003B2DA0" w:rsidRPr="001B06A7">
        <w:rPr>
          <w:rFonts w:eastAsia="Calibri"/>
          <w:i/>
          <w:lang w:eastAsia="en-US"/>
        </w:rPr>
        <w:t xml:space="preserve">Limbažu novada domes </w:t>
      </w:r>
      <w:r w:rsidR="003B2DA0">
        <w:rPr>
          <w:rFonts w:eastAsia="Calibri"/>
          <w:i/>
          <w:lang w:eastAsia="en-US"/>
        </w:rPr>
        <w:t>26</w:t>
      </w:r>
      <w:r w:rsidR="003B2DA0" w:rsidRPr="001B06A7">
        <w:rPr>
          <w:rFonts w:eastAsia="Calibri"/>
          <w:i/>
          <w:lang w:eastAsia="en-US"/>
        </w:rPr>
        <w:t>.</w:t>
      </w:r>
      <w:r w:rsidR="003B2DA0">
        <w:rPr>
          <w:rFonts w:eastAsia="Calibri"/>
          <w:i/>
          <w:lang w:eastAsia="en-US"/>
        </w:rPr>
        <w:t>10</w:t>
      </w:r>
      <w:r w:rsidR="003B2DA0" w:rsidRPr="001B06A7">
        <w:rPr>
          <w:rFonts w:eastAsia="Calibri"/>
          <w:i/>
          <w:lang w:eastAsia="en-US"/>
        </w:rPr>
        <w:t>.2023. sēdes lēmumu Nr.</w:t>
      </w:r>
      <w:r w:rsidR="003B2DA0">
        <w:rPr>
          <w:rFonts w:eastAsia="Calibri"/>
          <w:i/>
          <w:lang w:eastAsia="en-US"/>
        </w:rPr>
        <w:t>888</w:t>
      </w:r>
      <w:r w:rsidR="003B2DA0" w:rsidRPr="001B06A7">
        <w:rPr>
          <w:rFonts w:eastAsia="Calibri"/>
          <w:i/>
          <w:lang w:eastAsia="en-US"/>
        </w:rPr>
        <w:t xml:space="preserve"> (protokols Nr.</w:t>
      </w:r>
      <w:r w:rsidR="003B2DA0">
        <w:rPr>
          <w:rFonts w:eastAsia="Calibri"/>
          <w:i/>
          <w:lang w:eastAsia="en-US"/>
        </w:rPr>
        <w:t>13</w:t>
      </w:r>
      <w:r w:rsidR="003B2DA0" w:rsidRPr="001B06A7">
        <w:rPr>
          <w:rFonts w:eastAsia="Calibri"/>
          <w:i/>
          <w:lang w:eastAsia="en-US"/>
        </w:rPr>
        <w:t xml:space="preserve">, </w:t>
      </w:r>
      <w:r w:rsidR="003B2DA0">
        <w:rPr>
          <w:rFonts w:eastAsia="Calibri"/>
          <w:i/>
          <w:lang w:eastAsia="en-US"/>
        </w:rPr>
        <w:t>57</w:t>
      </w:r>
      <w:r w:rsidR="003B2DA0" w:rsidRPr="001B06A7">
        <w:rPr>
          <w:rFonts w:eastAsia="Calibri"/>
          <w:i/>
          <w:lang w:eastAsia="en-US"/>
        </w:rPr>
        <w:t>.)</w:t>
      </w:r>
      <w:r w:rsidR="003B2DA0">
        <w:rPr>
          <w:rFonts w:eastAsia="Calibri"/>
          <w:i/>
          <w:lang w:eastAsia="en-US"/>
        </w:rPr>
        <w:t>)</w:t>
      </w:r>
    </w:p>
    <w:p w14:paraId="72DA6171" w14:textId="5EC8ED9E"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darbu organizē un vada komisijas priekšsēdētājs, bet viņa prombūtnes laikā - komisijas priekšsēdētāja vietnieks. </w:t>
      </w:r>
    </w:p>
    <w:p w14:paraId="3ED91E51" w14:textId="321BBBE9"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priekšsēdētājs: </w:t>
      </w:r>
    </w:p>
    <w:p w14:paraId="2A6CE36B"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 plāno, organizē un vada Komisijas darbu; </w:t>
      </w:r>
    </w:p>
    <w:p w14:paraId="2E5D391E"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7.2. sagatavo jautājumus izskatīšanai Komisijas sēdēs/sanāksmēs;</w:t>
      </w:r>
    </w:p>
    <w:p w14:paraId="4965050C"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7.3. nosaka Komisijas sēžu/sanāksmju laiku, vietu un darba kārtību; </w:t>
      </w:r>
    </w:p>
    <w:p w14:paraId="437F6C55"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7.4. sasauc un vada Komisijas sēdes/sanāksmes; </w:t>
      </w:r>
    </w:p>
    <w:p w14:paraId="0A6BE3F4"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7.5. paraksta Komisijas sēžu/sanāksmju protokolus, kā arī citus Komisijas dokumentus; </w:t>
      </w:r>
    </w:p>
    <w:p w14:paraId="6814D0C5"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7.6. sadala Komisijas locekļu pienākumus, kontrolē un novērtē pienākumu izpildi; </w:t>
      </w:r>
    </w:p>
    <w:p w14:paraId="0199FA33"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7.7. pārliecinās par kvoruma esamību; </w:t>
      </w:r>
    </w:p>
    <w:p w14:paraId="0B2027D5"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7.8. uzaicina sniegt viedokli Komisijas locekļiem, ekspertam (speciālistam), ja tāds tiek pieaicināts; </w:t>
      </w:r>
    </w:p>
    <w:p w14:paraId="6BA4DDC9"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7.9. iesniedz pašvaldībai priekšlikumus, paskaidrojumus un ieteikumus jautājumos, kas ietilpst Komisijas kompetencē;</w:t>
      </w:r>
    </w:p>
    <w:p w14:paraId="2EDD5155"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7.10. atbild par Komisijas rīcībā nodoto materiālo vērtību un dokumentācijas saglabāšanu; </w:t>
      </w:r>
    </w:p>
    <w:p w14:paraId="7B85FBEC"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7.11. koordinē Komisijas sadarbību ar valsts un pašvaldības iestādēm, struktūrvienībām un citām iestādēm un institūcijām; </w:t>
      </w:r>
    </w:p>
    <w:p w14:paraId="5E1E88F7"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7.12. sagatavo informāciju un veic saraksti ar dažādām iestādēm, institūcijām un ieinteresētām personām par Komisijas kompetencē esošajiem jautājumiem; </w:t>
      </w:r>
    </w:p>
    <w:p w14:paraId="54794BDD"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7.13. kontrolē Komisijas pieņemto lēmumu izpildi; </w:t>
      </w:r>
    </w:p>
    <w:p w14:paraId="4C6038D9"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7.14. atbild par Komisijas darbu un Komisijas pieņemto lēmumu tiesiskumu un pamatotību.  </w:t>
      </w:r>
    </w:p>
    <w:p w14:paraId="2271B553" w14:textId="2523867A"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priekšsēdētāja vietnieks pilda komisijas priekšsēdētāja pienākumus viņa uzdevumā vai prombūtnes laikā. </w:t>
      </w:r>
    </w:p>
    <w:p w14:paraId="7F45F87B" w14:textId="7C2D8365"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locekļi: </w:t>
      </w:r>
    </w:p>
    <w:p w14:paraId="3A5A83E4"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9.1. piedalās Komisijas sēdēs/sanāksmēs; </w:t>
      </w:r>
    </w:p>
    <w:p w14:paraId="3D828963"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9.2 ne vēlāk kā vienu darba dienu pirms noteiktās Komisijas sēdes/sanāksmes, informē komisijas priekšsēdētāju par prombūtni vai citiem apstākļiem, kuru dēļ komisijas loceklis nevar piedalīties Komisijas sēdē/sanāksmē; </w:t>
      </w:r>
    </w:p>
    <w:p w14:paraId="53DD6059"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9.3. pilda komisijas priekšsēdētāja uzliktos pienākumus un norādījumus; </w:t>
      </w:r>
    </w:p>
    <w:p w14:paraId="6EC617D0"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9.4. katrs komisijas loceklis atbild par pieņemtā lēmuma tiesiskumu un pamatotību. </w:t>
      </w:r>
    </w:p>
    <w:p w14:paraId="408C6C77" w14:textId="54D744CA"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Komisi</w:t>
      </w:r>
      <w:r w:rsidR="00D71834">
        <w:rPr>
          <w:rFonts w:eastAsia="Calibri"/>
          <w:lang w:eastAsia="ar-SA"/>
        </w:rPr>
        <w:t>jas locekļi no sava vidus ievēl</w:t>
      </w:r>
      <w:r w:rsidRPr="00D71834">
        <w:rPr>
          <w:rFonts w:eastAsia="Calibri"/>
          <w:lang w:eastAsia="ar-SA"/>
        </w:rPr>
        <w:t xml:space="preserve"> komisijas sekretāru. Komisijas sekretāra amatu nevar </w:t>
      </w:r>
      <w:r w:rsidR="00D71834">
        <w:rPr>
          <w:rFonts w:eastAsia="Calibri"/>
          <w:lang w:eastAsia="ar-SA"/>
        </w:rPr>
        <w:t>ieņemt komisijas priekšsēdētājs</w:t>
      </w:r>
      <w:r w:rsidRPr="00D71834">
        <w:rPr>
          <w:rFonts w:eastAsia="Calibri"/>
          <w:lang w:eastAsia="ar-SA"/>
        </w:rPr>
        <w:t xml:space="preserve"> vai komisijas priekšsēdētāja vietnieks.</w:t>
      </w:r>
    </w:p>
    <w:p w14:paraId="6629EC44" w14:textId="3E4AC4E5"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Komisijas sekretārs:</w:t>
      </w:r>
    </w:p>
    <w:p w14:paraId="7159E124"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11.1. organizatoriski un tehniski sagatavo Komisijas sēdes/sanāksmes;</w:t>
      </w:r>
    </w:p>
    <w:p w14:paraId="201F0642"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11.2. veic Komisijas kontaktpersonas funkciju; </w:t>
      </w:r>
    </w:p>
    <w:p w14:paraId="613FE645"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11.3. pēc Komisijas priekšsēdētāja ierosinājuma sasauc un protokolē Komisijas sēdes/sanāksmes; </w:t>
      </w:r>
    </w:p>
    <w:p w14:paraId="6B71CC2A"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11.4. nodrošina Komisijas saraksti; </w:t>
      </w:r>
    </w:p>
    <w:p w14:paraId="07B26511"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11.5. noformē Komisijas lēmumus; </w:t>
      </w:r>
    </w:p>
    <w:p w14:paraId="61DBEFC0"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11.6. nodrošina Komisijas pieņemto lēmumu izsniegšanu vai nosūtīšanu iesniedzējiem;</w:t>
      </w:r>
    </w:p>
    <w:p w14:paraId="4D8989E4"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11.7. paraksta Komisijas sēžu/sanāksmju protokolus; </w:t>
      </w:r>
    </w:p>
    <w:p w14:paraId="307BD44F"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11.8. kārto Komisijas lietvedību, nodrošina dokumentu noformēšanu, glabāšanu un nodošanu pašvaldības arhīvā; </w:t>
      </w:r>
    </w:p>
    <w:p w14:paraId="198CA46E" w14:textId="6176E92D"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11.9. pilda komisijas priekšsēdētāja uzliktos pienākumus un norādījumus; </w:t>
      </w:r>
    </w:p>
    <w:p w14:paraId="438CDF9C" w14:textId="77777777" w:rsidR="009266D9" w:rsidRPr="00E56E70" w:rsidRDefault="009266D9" w:rsidP="00D71834">
      <w:pPr>
        <w:suppressAutoHyphens/>
        <w:ind w:left="879" w:hanging="454"/>
        <w:jc w:val="both"/>
        <w:rPr>
          <w:rFonts w:eastAsia="Calibri"/>
          <w:lang w:eastAsia="ar-SA"/>
        </w:rPr>
      </w:pPr>
      <w:r w:rsidRPr="00E56E70">
        <w:rPr>
          <w:rFonts w:eastAsia="Calibri"/>
          <w:lang w:eastAsia="ar-SA"/>
        </w:rPr>
        <w:t xml:space="preserve">11.10. veic citus uzdevumus Komisijas darbības nodrošināšanai. </w:t>
      </w:r>
    </w:p>
    <w:p w14:paraId="0E6B40BC" w14:textId="0CB9DBBC"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Komisijas priekšsēdētājs, priekšsēdētāja vietnieks vai locekļi var pārtraukt darbību Komisijā, iesniedzot iesniegumu pašvaldībā par savu pienākumu pildīšanas izbeigšanu.</w:t>
      </w:r>
    </w:p>
    <w:p w14:paraId="439F36B3" w14:textId="5BDA84C2"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lastRenderedPageBreak/>
        <w:t xml:space="preserve">Komisijas priekšsēdētāju, priekšsēdētāja vietnieku vai locekli var atsaukt no amata ar pašvaldības domes lēmumu. </w:t>
      </w:r>
    </w:p>
    <w:p w14:paraId="4E025907" w14:textId="77777777" w:rsidR="009266D9" w:rsidRPr="00E56E70" w:rsidRDefault="009266D9" w:rsidP="009266D9">
      <w:pPr>
        <w:suppressAutoHyphens/>
        <w:jc w:val="center"/>
        <w:rPr>
          <w:rFonts w:eastAsia="Calibri"/>
          <w:b/>
          <w:bCs/>
          <w:lang w:eastAsia="ar-SA"/>
        </w:rPr>
      </w:pPr>
    </w:p>
    <w:p w14:paraId="4B1E3FE1"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III. Komisijas darba organizācija</w:t>
      </w:r>
    </w:p>
    <w:p w14:paraId="62856883" w14:textId="77777777" w:rsidR="009266D9" w:rsidRPr="00E56E70" w:rsidRDefault="009266D9" w:rsidP="009266D9">
      <w:pPr>
        <w:suppressAutoHyphens/>
        <w:jc w:val="center"/>
        <w:rPr>
          <w:rFonts w:eastAsia="Calibri"/>
          <w:b/>
          <w:bCs/>
          <w:lang w:eastAsia="ar-SA"/>
        </w:rPr>
      </w:pPr>
    </w:p>
    <w:p w14:paraId="33075843" w14:textId="4CCFFD8E"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 ir lemttiesīga, ja sēdē piedalās vismaz </w:t>
      </w:r>
      <w:r w:rsidR="00444A77" w:rsidRPr="00D71834">
        <w:rPr>
          <w:rFonts w:eastAsia="Calibri"/>
          <w:lang w:eastAsia="ar-SA"/>
        </w:rPr>
        <w:t xml:space="preserve">4 </w:t>
      </w:r>
      <w:r w:rsidRPr="00D71834">
        <w:rPr>
          <w:rFonts w:eastAsia="Calibri"/>
          <w:lang w:eastAsia="ar-SA"/>
        </w:rPr>
        <w:t>komisijas locekļ</w:t>
      </w:r>
      <w:r w:rsidR="00444A77" w:rsidRPr="00D71834">
        <w:rPr>
          <w:rFonts w:eastAsia="Calibri"/>
          <w:lang w:eastAsia="ar-SA"/>
        </w:rPr>
        <w:t>i</w:t>
      </w:r>
      <w:r w:rsidRPr="00D71834">
        <w:rPr>
          <w:rFonts w:eastAsia="Calibri"/>
          <w:lang w:eastAsia="ar-SA"/>
        </w:rPr>
        <w:t xml:space="preserve">.  </w:t>
      </w:r>
    </w:p>
    <w:p w14:paraId="3BD1C0AE" w14:textId="35312791"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382A9C25" w14:textId="7FBF89FB" w:rsidR="00953E36" w:rsidRPr="00D71834" w:rsidRDefault="00953E36"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Komisijas sēdēs/sanāksmēs var organizēt attālināti, balsojot tiešsaistes režīmā.</w:t>
      </w:r>
    </w:p>
    <w:p w14:paraId="78D9B1D8" w14:textId="7E21C49B" w:rsidR="009266D9" w:rsidRPr="00D71834" w:rsidRDefault="009266D9" w:rsidP="00D71834">
      <w:pPr>
        <w:pStyle w:val="Sarakstarindkopa"/>
        <w:numPr>
          <w:ilvl w:val="0"/>
          <w:numId w:val="4"/>
        </w:numPr>
        <w:ind w:left="397" w:hanging="397"/>
        <w:jc w:val="both"/>
        <w:rPr>
          <w:rFonts w:eastAsia="Calibri"/>
          <w:lang w:eastAsia="en-US"/>
        </w:rPr>
      </w:pPr>
      <w:r w:rsidRPr="00D71834">
        <w:rPr>
          <w:rFonts w:eastAsia="Calibri"/>
          <w:lang w:eastAsia="en-US"/>
        </w:rPr>
        <w:t>Komisijas loceklis, kuram saskaņā ar likumu "</w:t>
      </w:r>
      <w:hyperlink r:id="rId8" w:tgtFrame="_blank" w:history="1">
        <w:r w:rsidRPr="00D71834">
          <w:rPr>
            <w:rFonts w:eastAsia="Calibri"/>
            <w:color w:val="000000" w:themeColor="text1"/>
            <w:lang w:eastAsia="en-US"/>
          </w:rPr>
          <w:t>Par interešu konflikta novēršanu valsts amatpersonu darbībā</w:t>
        </w:r>
      </w:hyperlink>
      <w:r w:rsidRPr="00D71834">
        <w:rPr>
          <w:rFonts w:eastAsia="Calibri"/>
          <w:color w:val="000000" w:themeColor="text1"/>
          <w:lang w:eastAsia="en-US"/>
        </w:rPr>
        <w:t>" rodas</w:t>
      </w:r>
      <w:r w:rsidRPr="00D71834">
        <w:rPr>
          <w:rFonts w:eastAsia="Calibri"/>
          <w:lang w:eastAsia="en-US"/>
        </w:rPr>
        <w:t xml:space="preserve"> interešu konflikts saistībā ar vērtējamo iesniegumu un kurš nav tiesīgs piedalīties attiecīgā lēmuma pieņemšanā, paziņo par to Komisijas priekšsēdētājam un tiek atstādināts no lēmuma pieņemšanas. </w:t>
      </w:r>
    </w:p>
    <w:p w14:paraId="5288951E" w14:textId="2DE450EA"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lēmums stājas spēkā ar tā pieņemšanas brīdi. </w:t>
      </w:r>
    </w:p>
    <w:p w14:paraId="5CCD7E3B" w14:textId="6E15469C"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lēmums ir saistošs iesniedzējam. </w:t>
      </w:r>
    </w:p>
    <w:p w14:paraId="52709192" w14:textId="13F8EFA2"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darbība tiek nodrošināta no pašvaldības budžeta līdzekļiem. </w:t>
      </w:r>
    </w:p>
    <w:p w14:paraId="438D7CB5" w14:textId="5B978A2F"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Komisijas priekšsēdētājs, priekšsēdētāja vietnieks, locekļi par darbu Komisijā saņem samaksu, kas noteikta saskaņā ar </w:t>
      </w:r>
      <w:r w:rsidR="00953E36" w:rsidRPr="00D71834">
        <w:rPr>
          <w:rFonts w:eastAsia="Calibri"/>
          <w:lang w:eastAsia="en-US"/>
        </w:rPr>
        <w:t>Limbažu</w:t>
      </w:r>
      <w:r w:rsidRPr="00D71834">
        <w:rPr>
          <w:rFonts w:eastAsia="Calibri"/>
          <w:lang w:eastAsia="ar-SA"/>
        </w:rPr>
        <w:t xml:space="preserve"> novada pašvaldības apstiprināto atlīdzības noteikšanas kārtības nolikumu. </w:t>
      </w:r>
    </w:p>
    <w:p w14:paraId="25F61076" w14:textId="77777777" w:rsidR="009266D9" w:rsidRPr="00E56E70" w:rsidRDefault="009266D9" w:rsidP="009266D9">
      <w:pPr>
        <w:suppressAutoHyphens/>
        <w:jc w:val="both"/>
        <w:rPr>
          <w:rFonts w:eastAsia="Calibri"/>
          <w:lang w:eastAsia="ar-SA"/>
        </w:rPr>
      </w:pPr>
    </w:p>
    <w:p w14:paraId="6BE23723" w14:textId="77777777" w:rsidR="009266D9" w:rsidRPr="00E56E70" w:rsidRDefault="009266D9" w:rsidP="009266D9">
      <w:pPr>
        <w:suppressAutoHyphens/>
        <w:jc w:val="center"/>
        <w:rPr>
          <w:rFonts w:eastAsia="Calibri"/>
          <w:b/>
          <w:bCs/>
          <w:lang w:eastAsia="ar-SA"/>
        </w:rPr>
      </w:pPr>
      <w:r w:rsidRPr="00E56E70">
        <w:rPr>
          <w:rFonts w:eastAsia="Calibri"/>
          <w:b/>
          <w:bCs/>
          <w:lang w:eastAsia="ar-SA"/>
        </w:rPr>
        <w:t>IV. Citi noteikumi</w:t>
      </w:r>
    </w:p>
    <w:p w14:paraId="606A235D" w14:textId="77777777" w:rsidR="009266D9" w:rsidRPr="00E56E70" w:rsidRDefault="009266D9" w:rsidP="009266D9">
      <w:pPr>
        <w:suppressAutoHyphens/>
        <w:jc w:val="center"/>
        <w:rPr>
          <w:rFonts w:eastAsia="Calibri"/>
          <w:b/>
          <w:bCs/>
          <w:lang w:eastAsia="ar-SA"/>
        </w:rPr>
      </w:pPr>
    </w:p>
    <w:p w14:paraId="62DB851E" w14:textId="3923D91D"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 savā darbībā nodrošina konfidencialitāti un informācijas neizpaušanu trešajām personām, izņemot normatīvajos aktos noteiktos gadījumus. </w:t>
      </w:r>
    </w:p>
    <w:p w14:paraId="1A8EC40A" w14:textId="52C00320" w:rsidR="009266D9" w:rsidRPr="00D71834" w:rsidRDefault="009266D9" w:rsidP="00D71834">
      <w:pPr>
        <w:pStyle w:val="Sarakstarindkopa"/>
        <w:numPr>
          <w:ilvl w:val="0"/>
          <w:numId w:val="4"/>
        </w:numPr>
        <w:suppressAutoHyphens/>
        <w:ind w:left="397" w:hanging="397"/>
        <w:jc w:val="both"/>
        <w:rPr>
          <w:rFonts w:eastAsia="Calibri"/>
          <w:lang w:eastAsia="ar-SA"/>
        </w:rPr>
      </w:pPr>
      <w:r w:rsidRPr="00D71834">
        <w:rPr>
          <w:rFonts w:eastAsia="Calibri"/>
          <w:lang w:eastAsia="ar-SA"/>
        </w:rPr>
        <w:t xml:space="preserve">Komisija savā darbībā ievēro ētikas normas. </w:t>
      </w:r>
    </w:p>
    <w:p w14:paraId="72037BF0" w14:textId="68AD649C" w:rsidR="009266D9" w:rsidRPr="00D71834" w:rsidRDefault="009266D9" w:rsidP="00D71834">
      <w:pPr>
        <w:pStyle w:val="Sarakstarindkopa"/>
        <w:numPr>
          <w:ilvl w:val="0"/>
          <w:numId w:val="4"/>
        </w:numPr>
        <w:suppressAutoHyphens/>
        <w:ind w:left="397" w:hanging="397"/>
        <w:jc w:val="both"/>
        <w:rPr>
          <w:rFonts w:eastAsia="Calibri"/>
          <w:color w:val="000000"/>
          <w:lang w:eastAsia="ar-SA"/>
        </w:rPr>
      </w:pPr>
      <w:r w:rsidRPr="00D71834">
        <w:rPr>
          <w:rFonts w:eastAsia="Calibri"/>
          <w:color w:val="000000"/>
          <w:lang w:eastAsia="ar-SA"/>
        </w:rPr>
        <w:t>Komisijas pieņemto lēmumu var apstrīdēt domē Administratīvā procesa likumā noteiktajā kārtībā.</w:t>
      </w:r>
    </w:p>
    <w:p w14:paraId="5A0F0C80" w14:textId="77777777" w:rsidR="00953E36" w:rsidRPr="00E56E70" w:rsidRDefault="00953E36" w:rsidP="009266D9">
      <w:pPr>
        <w:suppressAutoHyphens/>
        <w:jc w:val="both"/>
        <w:rPr>
          <w:rFonts w:eastAsia="Calibri"/>
          <w:color w:val="000000"/>
          <w:lang w:eastAsia="ar-SA"/>
        </w:rPr>
      </w:pPr>
    </w:p>
    <w:p w14:paraId="0AB68AE5" w14:textId="77777777" w:rsidR="009266D9" w:rsidRPr="00E56E70" w:rsidRDefault="009266D9" w:rsidP="009266D9">
      <w:pPr>
        <w:suppressAutoHyphens/>
        <w:jc w:val="both"/>
        <w:rPr>
          <w:rFonts w:eastAsia="Calibri"/>
          <w:lang w:eastAsia="ar-SA"/>
        </w:rPr>
      </w:pPr>
    </w:p>
    <w:p w14:paraId="1BB1B125" w14:textId="77777777" w:rsidR="00EE62B8" w:rsidRPr="00EE62B8" w:rsidRDefault="00EE62B8" w:rsidP="00EE62B8">
      <w:pPr>
        <w:rPr>
          <w:rFonts w:eastAsia="Calibri"/>
          <w:lang w:eastAsia="en-US"/>
        </w:rPr>
      </w:pPr>
      <w:r w:rsidRPr="00EE62B8">
        <w:rPr>
          <w:rFonts w:eastAsia="Calibri"/>
          <w:lang w:eastAsia="en-US"/>
        </w:rPr>
        <w:t>Limbažu novada pašvaldības</w:t>
      </w:r>
    </w:p>
    <w:p w14:paraId="0AE58F38" w14:textId="77777777" w:rsidR="00EE62B8" w:rsidRPr="00EE62B8" w:rsidRDefault="00EE62B8" w:rsidP="00EE62B8">
      <w:pPr>
        <w:rPr>
          <w:rFonts w:eastAsia="Calibri"/>
          <w:lang w:eastAsia="en-US"/>
        </w:rPr>
      </w:pPr>
      <w:r w:rsidRPr="00EE62B8">
        <w:rPr>
          <w:rFonts w:eastAsia="Calibri"/>
          <w:lang w:eastAsia="en-US"/>
        </w:rPr>
        <w:t>Domes priekšsēdētāja 1.vietnieks</w:t>
      </w:r>
      <w:r w:rsidRPr="00EE62B8">
        <w:rPr>
          <w:rFonts w:eastAsia="Calibri"/>
          <w:lang w:eastAsia="en-US"/>
        </w:rPr>
        <w:tab/>
      </w:r>
      <w:r w:rsidRPr="00EE62B8">
        <w:rPr>
          <w:rFonts w:eastAsia="Calibri"/>
          <w:lang w:eastAsia="en-US"/>
        </w:rPr>
        <w:tab/>
      </w:r>
      <w:r w:rsidRPr="00EE62B8">
        <w:rPr>
          <w:rFonts w:eastAsia="Calibri"/>
          <w:lang w:eastAsia="en-US"/>
        </w:rPr>
        <w:tab/>
      </w:r>
      <w:r w:rsidRPr="00EE62B8">
        <w:rPr>
          <w:rFonts w:eastAsia="Calibri"/>
          <w:lang w:eastAsia="en-US"/>
        </w:rPr>
        <w:tab/>
      </w:r>
      <w:r w:rsidRPr="00EE62B8">
        <w:rPr>
          <w:rFonts w:eastAsia="Calibri"/>
          <w:lang w:eastAsia="en-US"/>
        </w:rPr>
        <w:tab/>
      </w:r>
      <w:r w:rsidRPr="00EE62B8">
        <w:rPr>
          <w:rFonts w:eastAsia="Calibri"/>
          <w:lang w:eastAsia="en-US"/>
        </w:rPr>
        <w:tab/>
      </w:r>
      <w:r w:rsidRPr="00EE62B8">
        <w:rPr>
          <w:rFonts w:eastAsia="Calibri"/>
          <w:lang w:eastAsia="en-US"/>
        </w:rPr>
        <w:tab/>
        <w:t xml:space="preserve">M. </w:t>
      </w:r>
      <w:proofErr w:type="spellStart"/>
      <w:r w:rsidRPr="00EE62B8">
        <w:rPr>
          <w:rFonts w:eastAsia="Calibri"/>
          <w:lang w:eastAsia="en-US"/>
        </w:rPr>
        <w:t>Beļaunieks</w:t>
      </w:r>
      <w:proofErr w:type="spellEnd"/>
    </w:p>
    <w:p w14:paraId="23B4025B" w14:textId="77777777" w:rsidR="00EE62B8" w:rsidRPr="00EE62B8" w:rsidRDefault="00EE62B8" w:rsidP="00EE62B8">
      <w:pPr>
        <w:jc w:val="both"/>
        <w:rPr>
          <w:rFonts w:eastAsia="Calibri"/>
          <w:b/>
          <w:sz w:val="20"/>
          <w:szCs w:val="20"/>
          <w:lang w:eastAsia="en-US"/>
        </w:rPr>
      </w:pPr>
    </w:p>
    <w:p w14:paraId="4BCB1A93" w14:textId="77777777" w:rsidR="00EE62B8" w:rsidRPr="00EE62B8" w:rsidRDefault="00EE62B8" w:rsidP="00EE62B8">
      <w:pPr>
        <w:jc w:val="both"/>
        <w:rPr>
          <w:rFonts w:eastAsia="Calibri"/>
          <w:b/>
          <w:sz w:val="20"/>
          <w:szCs w:val="20"/>
          <w:lang w:eastAsia="en-US"/>
        </w:rPr>
      </w:pPr>
    </w:p>
    <w:p w14:paraId="49C7581D" w14:textId="77777777" w:rsidR="00EE62B8" w:rsidRPr="00EE62B8" w:rsidRDefault="00EE62B8" w:rsidP="00EE62B8">
      <w:pPr>
        <w:jc w:val="both"/>
        <w:rPr>
          <w:rFonts w:eastAsia="Calibri"/>
          <w:b/>
          <w:sz w:val="18"/>
          <w:szCs w:val="18"/>
          <w:lang w:eastAsia="en-US"/>
        </w:rPr>
      </w:pPr>
    </w:p>
    <w:p w14:paraId="5A94A924" w14:textId="77777777" w:rsidR="00EE62B8" w:rsidRDefault="00EE62B8" w:rsidP="00EE62B8">
      <w:pPr>
        <w:jc w:val="both"/>
        <w:rPr>
          <w:rFonts w:eastAsia="Calibri"/>
          <w:sz w:val="20"/>
          <w:szCs w:val="20"/>
          <w:lang w:eastAsia="en-US"/>
        </w:rPr>
        <w:sectPr w:rsidR="00EE62B8" w:rsidSect="00D71834">
          <w:headerReference w:type="default" r:id="rId9"/>
          <w:pgSz w:w="12240" w:h="15840"/>
          <w:pgMar w:top="1134" w:right="567" w:bottom="1134" w:left="1701" w:header="709" w:footer="709" w:gutter="0"/>
          <w:pgNumType w:start="1"/>
          <w:cols w:space="708"/>
          <w:titlePg/>
          <w:docGrid w:linePitch="360"/>
        </w:sectPr>
      </w:pPr>
      <w:r w:rsidRPr="00EE62B8">
        <w:rPr>
          <w:rFonts w:eastAsia="Calibri"/>
          <w:sz w:val="20"/>
          <w:szCs w:val="20"/>
          <w:lang w:eastAsia="en-US"/>
        </w:rPr>
        <w:t>ŠIS DOKUMENTS IR PARAKSTĪTS AR DROŠU ELEKTRONISKO PARAKSTU UN SATUR LAIKA ZĪMOGU</w:t>
      </w:r>
    </w:p>
    <w:p w14:paraId="2E22DC03" w14:textId="1336BA3C" w:rsidR="0019147E" w:rsidRPr="0019147E" w:rsidRDefault="00EE62B8" w:rsidP="004F4E42">
      <w:pPr>
        <w:ind w:left="4320" w:hanging="67"/>
        <w:jc w:val="right"/>
        <w:rPr>
          <w:b/>
          <w:bCs/>
        </w:rPr>
      </w:pPr>
      <w:r w:rsidRPr="0019147E">
        <w:rPr>
          <w:b/>
          <w:bCs/>
        </w:rPr>
        <w:lastRenderedPageBreak/>
        <w:t xml:space="preserve">PIELIKUMS </w:t>
      </w:r>
    </w:p>
    <w:p w14:paraId="4386DF28" w14:textId="282BE915" w:rsidR="0019147E" w:rsidRDefault="0019147E" w:rsidP="0019147E">
      <w:pPr>
        <w:ind w:left="4320" w:hanging="67"/>
        <w:jc w:val="right"/>
        <w:rPr>
          <w:bCs/>
        </w:rPr>
      </w:pPr>
      <w:r>
        <w:rPr>
          <w:bCs/>
        </w:rPr>
        <w:t>23.02.2023.</w:t>
      </w:r>
      <w:r w:rsidR="004F4E42" w:rsidRPr="004F4E42">
        <w:rPr>
          <w:bCs/>
        </w:rPr>
        <w:t xml:space="preserve"> </w:t>
      </w:r>
      <w:r w:rsidRPr="004F4E42">
        <w:rPr>
          <w:bCs/>
        </w:rPr>
        <w:t xml:space="preserve">Limbažu novada </w:t>
      </w:r>
      <w:r>
        <w:rPr>
          <w:bCs/>
        </w:rPr>
        <w:t>pašvaldības</w:t>
      </w:r>
    </w:p>
    <w:p w14:paraId="7AE372E1" w14:textId="42AB33C7" w:rsidR="004F4E42" w:rsidRPr="004F4E42" w:rsidRDefault="0019147E" w:rsidP="004F4E42">
      <w:pPr>
        <w:ind w:left="4320" w:hanging="67"/>
        <w:jc w:val="right"/>
        <w:rPr>
          <w:bCs/>
        </w:rPr>
      </w:pPr>
      <w:r>
        <w:rPr>
          <w:bCs/>
        </w:rPr>
        <w:t>Satiksmes drošības komisijas nolikumam</w:t>
      </w:r>
    </w:p>
    <w:p w14:paraId="60EC6278" w14:textId="77777777" w:rsidR="004F4E42" w:rsidRDefault="004F4E42" w:rsidP="004F4E42">
      <w:pPr>
        <w:ind w:left="4320" w:hanging="67"/>
        <w:jc w:val="right"/>
        <w:rPr>
          <w:b/>
          <w:sz w:val="28"/>
          <w:szCs w:val="28"/>
        </w:rPr>
      </w:pPr>
    </w:p>
    <w:p w14:paraId="190849AF" w14:textId="72E1B3FE" w:rsidR="004F4E42" w:rsidRPr="00FC6922" w:rsidRDefault="004F4E42" w:rsidP="004F4E42">
      <w:pPr>
        <w:ind w:left="4320" w:hanging="67"/>
        <w:jc w:val="right"/>
        <w:rPr>
          <w:bCs/>
        </w:rPr>
      </w:pPr>
      <w:r w:rsidRPr="00FC6922">
        <w:rPr>
          <w:bCs/>
        </w:rPr>
        <w:t>Limbažu novada pašvaldības</w:t>
      </w:r>
    </w:p>
    <w:p w14:paraId="6DFF82FB" w14:textId="77777777" w:rsidR="004F4E42" w:rsidRPr="00FC6922" w:rsidRDefault="004F4E42" w:rsidP="004F4E42">
      <w:pPr>
        <w:ind w:left="4320" w:hanging="634"/>
        <w:jc w:val="right"/>
        <w:rPr>
          <w:bCs/>
        </w:rPr>
      </w:pPr>
      <w:r w:rsidRPr="00FC6922">
        <w:rPr>
          <w:bCs/>
        </w:rPr>
        <w:t>Satiksmes drošības komisijai</w:t>
      </w:r>
    </w:p>
    <w:p w14:paraId="7E50D12A" w14:textId="77777777" w:rsidR="004F4E42" w:rsidRDefault="004F4E42" w:rsidP="004F4E42">
      <w:pPr>
        <w:ind w:left="2160" w:firstLine="720"/>
        <w:jc w:val="center"/>
      </w:pPr>
    </w:p>
    <w:tbl>
      <w:tblPr>
        <w:tblW w:w="0" w:type="auto"/>
        <w:jc w:val="center"/>
        <w:tblLook w:val="04A0" w:firstRow="1" w:lastRow="0" w:firstColumn="1" w:lastColumn="0" w:noHBand="0" w:noVBand="1"/>
      </w:tblPr>
      <w:tblGrid>
        <w:gridCol w:w="8157"/>
      </w:tblGrid>
      <w:tr w:rsidR="004F4E42" w:rsidRPr="00B40CC8" w14:paraId="0EE4A7A7" w14:textId="77777777" w:rsidTr="00F11780">
        <w:trPr>
          <w:trHeight w:val="283"/>
          <w:jc w:val="center"/>
        </w:trPr>
        <w:tc>
          <w:tcPr>
            <w:tcW w:w="8157" w:type="dxa"/>
            <w:tcBorders>
              <w:bottom w:val="single" w:sz="4" w:space="0" w:color="auto"/>
            </w:tcBorders>
            <w:shd w:val="clear" w:color="auto" w:fill="auto"/>
            <w:vAlign w:val="center"/>
          </w:tcPr>
          <w:p w14:paraId="135A6BC2" w14:textId="77777777" w:rsidR="004F4E42" w:rsidRDefault="004F4E42" w:rsidP="00F11780">
            <w:pPr>
              <w:jc w:val="center"/>
              <w:rPr>
                <w:rFonts w:eastAsia="Calibri"/>
                <w:b/>
              </w:rPr>
            </w:pPr>
          </w:p>
        </w:tc>
      </w:tr>
      <w:tr w:rsidR="004F4E42" w:rsidRPr="00B40CC8" w14:paraId="2D151884" w14:textId="77777777" w:rsidTr="00F11780">
        <w:trPr>
          <w:trHeight w:val="233"/>
          <w:jc w:val="center"/>
        </w:trPr>
        <w:tc>
          <w:tcPr>
            <w:tcW w:w="8157" w:type="dxa"/>
            <w:tcBorders>
              <w:top w:val="single" w:sz="4" w:space="0" w:color="auto"/>
            </w:tcBorders>
            <w:shd w:val="clear" w:color="auto" w:fill="auto"/>
            <w:vAlign w:val="center"/>
          </w:tcPr>
          <w:p w14:paraId="750071A7" w14:textId="77777777" w:rsidR="004F4E42" w:rsidRDefault="004F4E42" w:rsidP="00F11780">
            <w:pPr>
              <w:jc w:val="center"/>
              <w:rPr>
                <w:rFonts w:eastAsia="Calibri"/>
                <w:sz w:val="20"/>
                <w:szCs w:val="20"/>
              </w:rPr>
            </w:pPr>
            <w:r>
              <w:rPr>
                <w:rFonts w:eastAsia="Calibri"/>
                <w:sz w:val="20"/>
                <w:szCs w:val="20"/>
              </w:rPr>
              <w:t>(vārds, uzvārds vai juridiskas personas nosaukums)</w:t>
            </w:r>
          </w:p>
        </w:tc>
      </w:tr>
      <w:tr w:rsidR="004F4E42" w:rsidRPr="00B40CC8" w14:paraId="2E7E4F0F" w14:textId="77777777" w:rsidTr="00F11780">
        <w:trPr>
          <w:trHeight w:val="273"/>
          <w:jc w:val="center"/>
        </w:trPr>
        <w:tc>
          <w:tcPr>
            <w:tcW w:w="8157" w:type="dxa"/>
            <w:tcBorders>
              <w:bottom w:val="single" w:sz="4" w:space="0" w:color="auto"/>
            </w:tcBorders>
            <w:shd w:val="clear" w:color="auto" w:fill="auto"/>
            <w:vAlign w:val="center"/>
          </w:tcPr>
          <w:p w14:paraId="1D5A5BBE" w14:textId="77777777" w:rsidR="004F4E42" w:rsidRDefault="004F4E42" w:rsidP="00F11780">
            <w:pPr>
              <w:jc w:val="center"/>
              <w:rPr>
                <w:rFonts w:eastAsia="Calibri"/>
                <w:b/>
              </w:rPr>
            </w:pPr>
          </w:p>
        </w:tc>
      </w:tr>
      <w:tr w:rsidR="004F4E42" w:rsidRPr="00B40CC8" w14:paraId="5B28B9D6" w14:textId="77777777" w:rsidTr="00F11780">
        <w:trPr>
          <w:trHeight w:val="233"/>
          <w:jc w:val="center"/>
        </w:trPr>
        <w:tc>
          <w:tcPr>
            <w:tcW w:w="8157" w:type="dxa"/>
            <w:tcBorders>
              <w:top w:val="single" w:sz="4" w:space="0" w:color="auto"/>
            </w:tcBorders>
            <w:shd w:val="clear" w:color="auto" w:fill="auto"/>
            <w:vAlign w:val="center"/>
          </w:tcPr>
          <w:p w14:paraId="3EABAD6B" w14:textId="77777777" w:rsidR="004F4E42" w:rsidRDefault="004F4E42" w:rsidP="00F11780">
            <w:pPr>
              <w:jc w:val="center"/>
              <w:rPr>
                <w:rFonts w:eastAsia="Calibri"/>
              </w:rPr>
            </w:pPr>
            <w:r>
              <w:rPr>
                <w:rFonts w:eastAsia="Calibri"/>
                <w:sz w:val="20"/>
                <w:szCs w:val="22"/>
              </w:rPr>
              <w:t>(personas kods vai reģistrācijas nr.)</w:t>
            </w:r>
          </w:p>
        </w:tc>
      </w:tr>
      <w:tr w:rsidR="004F4E42" w:rsidRPr="00B40CC8" w14:paraId="514EF581" w14:textId="77777777" w:rsidTr="00F11780">
        <w:trPr>
          <w:trHeight w:val="283"/>
          <w:jc w:val="center"/>
        </w:trPr>
        <w:tc>
          <w:tcPr>
            <w:tcW w:w="8157" w:type="dxa"/>
            <w:tcBorders>
              <w:bottom w:val="single" w:sz="4" w:space="0" w:color="auto"/>
            </w:tcBorders>
            <w:shd w:val="clear" w:color="auto" w:fill="auto"/>
            <w:vAlign w:val="center"/>
          </w:tcPr>
          <w:p w14:paraId="446E2A06" w14:textId="77777777" w:rsidR="004F4E42" w:rsidRDefault="004F4E42" w:rsidP="00F11780">
            <w:pPr>
              <w:jc w:val="center"/>
              <w:rPr>
                <w:rFonts w:eastAsia="Calibri"/>
                <w:b/>
              </w:rPr>
            </w:pPr>
          </w:p>
        </w:tc>
      </w:tr>
      <w:tr w:rsidR="004F4E42" w:rsidRPr="00B40CC8" w14:paraId="2C26C00F" w14:textId="77777777" w:rsidTr="00F11780">
        <w:trPr>
          <w:trHeight w:val="233"/>
          <w:jc w:val="center"/>
        </w:trPr>
        <w:tc>
          <w:tcPr>
            <w:tcW w:w="8157" w:type="dxa"/>
            <w:tcBorders>
              <w:top w:val="single" w:sz="4" w:space="0" w:color="auto"/>
            </w:tcBorders>
            <w:shd w:val="clear" w:color="auto" w:fill="auto"/>
            <w:vAlign w:val="center"/>
          </w:tcPr>
          <w:p w14:paraId="5D2D4116" w14:textId="77777777" w:rsidR="004F4E42" w:rsidRDefault="004F4E42" w:rsidP="00F11780">
            <w:pPr>
              <w:jc w:val="center"/>
              <w:rPr>
                <w:rFonts w:eastAsia="Calibri"/>
              </w:rPr>
            </w:pPr>
            <w:r>
              <w:rPr>
                <w:rFonts w:eastAsia="Calibri"/>
                <w:sz w:val="20"/>
                <w:szCs w:val="22"/>
              </w:rPr>
              <w:t>(adrese; pasta indekss)</w:t>
            </w:r>
          </w:p>
        </w:tc>
      </w:tr>
      <w:tr w:rsidR="004F4E42" w:rsidRPr="00B40CC8" w14:paraId="33D87929" w14:textId="77777777" w:rsidTr="00F11780">
        <w:trPr>
          <w:trHeight w:val="273"/>
          <w:jc w:val="center"/>
        </w:trPr>
        <w:tc>
          <w:tcPr>
            <w:tcW w:w="8157" w:type="dxa"/>
            <w:tcBorders>
              <w:bottom w:val="single" w:sz="4" w:space="0" w:color="auto"/>
            </w:tcBorders>
            <w:shd w:val="clear" w:color="auto" w:fill="auto"/>
            <w:vAlign w:val="center"/>
          </w:tcPr>
          <w:p w14:paraId="65A2DBD5" w14:textId="77777777" w:rsidR="004F4E42" w:rsidRDefault="004F4E42" w:rsidP="00F11780">
            <w:pPr>
              <w:jc w:val="center"/>
              <w:rPr>
                <w:rFonts w:eastAsia="Calibri"/>
                <w:b/>
              </w:rPr>
            </w:pPr>
          </w:p>
        </w:tc>
      </w:tr>
      <w:tr w:rsidR="004F4E42" w:rsidRPr="00B40CC8" w14:paraId="0C3DF0F1" w14:textId="77777777" w:rsidTr="00F11780">
        <w:trPr>
          <w:trHeight w:val="233"/>
          <w:jc w:val="center"/>
        </w:trPr>
        <w:tc>
          <w:tcPr>
            <w:tcW w:w="8157" w:type="dxa"/>
            <w:tcBorders>
              <w:top w:val="single" w:sz="4" w:space="0" w:color="auto"/>
            </w:tcBorders>
            <w:shd w:val="clear" w:color="auto" w:fill="auto"/>
            <w:vAlign w:val="center"/>
          </w:tcPr>
          <w:p w14:paraId="12ACDA43" w14:textId="77777777" w:rsidR="004F4E42" w:rsidRDefault="004F4E42" w:rsidP="00F11780">
            <w:pPr>
              <w:jc w:val="center"/>
              <w:rPr>
                <w:rFonts w:eastAsia="Calibri"/>
                <w:sz w:val="20"/>
                <w:szCs w:val="22"/>
              </w:rPr>
            </w:pPr>
            <w:r>
              <w:rPr>
                <w:rFonts w:eastAsia="Calibri"/>
                <w:sz w:val="20"/>
                <w:szCs w:val="22"/>
              </w:rPr>
              <w:t>(e-pasts un telefons numurs)</w:t>
            </w:r>
          </w:p>
        </w:tc>
      </w:tr>
    </w:tbl>
    <w:p w14:paraId="3F5114A8" w14:textId="77777777" w:rsidR="004F4E42" w:rsidRDefault="004F4E42" w:rsidP="004F4E42">
      <w:pPr>
        <w:jc w:val="center"/>
        <w:rPr>
          <w:sz w:val="22"/>
          <w:szCs w:val="22"/>
        </w:rPr>
      </w:pPr>
    </w:p>
    <w:p w14:paraId="24925955" w14:textId="77777777" w:rsidR="004F4E42" w:rsidRDefault="004F4E42" w:rsidP="004F4E42">
      <w:pPr>
        <w:jc w:val="center"/>
        <w:rPr>
          <w:b/>
          <w:sz w:val="22"/>
          <w:szCs w:val="22"/>
        </w:rPr>
      </w:pPr>
    </w:p>
    <w:p w14:paraId="1D79E5BA" w14:textId="77777777" w:rsidR="004F4E42" w:rsidRPr="00E95F5B" w:rsidRDefault="004F4E42" w:rsidP="004F4E42">
      <w:pPr>
        <w:jc w:val="center"/>
        <w:rPr>
          <w:sz w:val="28"/>
          <w:szCs w:val="28"/>
        </w:rPr>
      </w:pPr>
      <w:r w:rsidRPr="00E95F5B">
        <w:rPr>
          <w:b/>
          <w:sz w:val="28"/>
          <w:szCs w:val="28"/>
        </w:rPr>
        <w:t>I E S N I E G U M S</w:t>
      </w:r>
    </w:p>
    <w:p w14:paraId="5DA1D5CB" w14:textId="77777777" w:rsidR="00D71834" w:rsidRDefault="00D71834" w:rsidP="004F4E42">
      <w:pPr>
        <w:rPr>
          <w:b/>
          <w:bCs/>
        </w:rPr>
      </w:pPr>
    </w:p>
    <w:p w14:paraId="686ECDDC" w14:textId="71762CCE" w:rsidR="004F4E42" w:rsidRPr="00562410" w:rsidRDefault="004F4E42" w:rsidP="004F4E42">
      <w:pPr>
        <w:rPr>
          <w:b/>
          <w:bCs/>
        </w:rPr>
      </w:pPr>
      <w:r w:rsidRPr="00562410">
        <w:rPr>
          <w:b/>
          <w:bCs/>
        </w:rPr>
        <w:t xml:space="preserve">Lūdzu </w:t>
      </w:r>
      <w:r>
        <w:rPr>
          <w:b/>
          <w:bCs/>
        </w:rPr>
        <w:t>tuvākajā Satiksmes drošības komisijas sēdē izskatīt jautājumu par:</w:t>
      </w:r>
    </w:p>
    <w:p w14:paraId="7DDC6116" w14:textId="77777777" w:rsidR="004F4E42" w:rsidRPr="00562410" w:rsidRDefault="004F4E42" w:rsidP="004F4E42">
      <w:pPr>
        <w:jc w:val="center"/>
        <w:rPr>
          <w:i/>
          <w:iCs/>
          <w:sz w:val="20"/>
          <w:szCs w:val="20"/>
        </w:rPr>
      </w:pPr>
      <w:r w:rsidRPr="00562410">
        <w:rPr>
          <w:i/>
          <w:iCs/>
          <w:sz w:val="20"/>
          <w:szCs w:val="20"/>
        </w:rPr>
        <w:t>(atzīmēt nepieciešamo)</w:t>
      </w:r>
    </w:p>
    <w:p w14:paraId="0A8585FA" w14:textId="77777777" w:rsidR="004F4E42" w:rsidRDefault="004F4E42" w:rsidP="004F4E42"/>
    <w:tbl>
      <w:tblPr>
        <w:tblW w:w="0" w:type="auto"/>
        <w:jc w:val="center"/>
        <w:tblLook w:val="04A0" w:firstRow="1" w:lastRow="0" w:firstColumn="1" w:lastColumn="0" w:noHBand="0" w:noVBand="1"/>
      </w:tblPr>
      <w:tblGrid>
        <w:gridCol w:w="2765"/>
        <w:gridCol w:w="2765"/>
        <w:gridCol w:w="2766"/>
      </w:tblGrid>
      <w:tr w:rsidR="004F4E42" w:rsidRPr="001205B7" w14:paraId="7F7165D4" w14:textId="77777777" w:rsidTr="00F11780">
        <w:trPr>
          <w:jc w:val="center"/>
        </w:trPr>
        <w:tc>
          <w:tcPr>
            <w:tcW w:w="8296" w:type="dxa"/>
            <w:gridSpan w:val="3"/>
            <w:shd w:val="clear" w:color="auto" w:fill="auto"/>
            <w:vAlign w:val="center"/>
          </w:tcPr>
          <w:p w14:paraId="3F717A66" w14:textId="77777777" w:rsidR="004F4E42" w:rsidRDefault="00253E02" w:rsidP="00F11780">
            <w:pPr>
              <w:rPr>
                <w:rFonts w:eastAsia="Calibri"/>
              </w:rPr>
            </w:pPr>
            <w:sdt>
              <w:sdtPr>
                <w:rPr>
                  <w:sz w:val="28"/>
                  <w:szCs w:val="28"/>
                </w:rPr>
                <w:id w:val="-1061550998"/>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ceļa zīmes uzstādīšanu/demontēšanu </w:t>
            </w:r>
            <w:r w:rsidR="004F4E42">
              <w:rPr>
                <w:rFonts w:eastAsia="Calibri"/>
                <w:i/>
                <w:iCs/>
              </w:rPr>
              <w:t>(norādīt ceļa zīmes nosaukumu un Nr.)</w:t>
            </w:r>
          </w:p>
        </w:tc>
      </w:tr>
      <w:tr w:rsidR="004F4E42" w:rsidRPr="001205B7" w14:paraId="43C841BA" w14:textId="77777777" w:rsidTr="00F11780">
        <w:trPr>
          <w:jc w:val="center"/>
        </w:trPr>
        <w:tc>
          <w:tcPr>
            <w:tcW w:w="8296" w:type="dxa"/>
            <w:gridSpan w:val="3"/>
            <w:shd w:val="clear" w:color="auto" w:fill="auto"/>
            <w:vAlign w:val="center"/>
          </w:tcPr>
          <w:p w14:paraId="3C5C80DC" w14:textId="77777777" w:rsidR="004F4E42" w:rsidRDefault="00253E02" w:rsidP="00F11780">
            <w:pPr>
              <w:rPr>
                <w:rFonts w:ascii="MS Gothic" w:eastAsia="MS Gothic" w:hAnsi="MS Gothic"/>
                <w:sz w:val="28"/>
                <w:szCs w:val="28"/>
              </w:rPr>
            </w:pPr>
            <w:sdt>
              <w:sdtPr>
                <w:rPr>
                  <w:sz w:val="28"/>
                  <w:szCs w:val="28"/>
                </w:rPr>
                <w:id w:val="-323055752"/>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signālstabiņu uzstādīšanu/demontēšanu</w:t>
            </w:r>
          </w:p>
        </w:tc>
      </w:tr>
      <w:tr w:rsidR="004F4E42" w:rsidRPr="001205B7" w14:paraId="131A3161" w14:textId="77777777" w:rsidTr="00F11780">
        <w:trPr>
          <w:jc w:val="center"/>
        </w:trPr>
        <w:tc>
          <w:tcPr>
            <w:tcW w:w="8296" w:type="dxa"/>
            <w:gridSpan w:val="3"/>
            <w:shd w:val="clear" w:color="auto" w:fill="auto"/>
            <w:vAlign w:val="center"/>
          </w:tcPr>
          <w:p w14:paraId="748E532F" w14:textId="77777777" w:rsidR="004F4E42" w:rsidRDefault="00253E02" w:rsidP="00F11780">
            <w:pPr>
              <w:rPr>
                <w:rFonts w:ascii="MS Gothic" w:eastAsia="MS Gothic" w:hAnsi="MS Gothic"/>
                <w:sz w:val="28"/>
                <w:szCs w:val="28"/>
              </w:rPr>
            </w:pPr>
            <w:sdt>
              <w:sdtPr>
                <w:rPr>
                  <w:sz w:val="28"/>
                  <w:szCs w:val="28"/>
                </w:rPr>
                <w:id w:val="991988144"/>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aizsargbarjeru/gājēju barjeru uzstādīšanu/demontēšanu</w:t>
            </w:r>
          </w:p>
        </w:tc>
      </w:tr>
      <w:tr w:rsidR="004F4E42" w:rsidRPr="001205B7" w14:paraId="67335ACD" w14:textId="77777777" w:rsidTr="00F11780">
        <w:trPr>
          <w:jc w:val="center"/>
        </w:trPr>
        <w:tc>
          <w:tcPr>
            <w:tcW w:w="8296" w:type="dxa"/>
            <w:gridSpan w:val="3"/>
            <w:shd w:val="clear" w:color="auto" w:fill="auto"/>
            <w:vAlign w:val="center"/>
          </w:tcPr>
          <w:p w14:paraId="6EE52117" w14:textId="77777777" w:rsidR="004F4E42" w:rsidRDefault="00253E02" w:rsidP="00F11780">
            <w:pPr>
              <w:rPr>
                <w:rFonts w:eastAsia="Calibri"/>
              </w:rPr>
            </w:pPr>
            <w:sdt>
              <w:sdtPr>
                <w:rPr>
                  <w:sz w:val="28"/>
                  <w:szCs w:val="28"/>
                </w:rPr>
                <w:id w:val="1128596759"/>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vertikālo/horizontālo ceļa apzīmējumu uzklāšanu/noņemšanu</w:t>
            </w:r>
          </w:p>
        </w:tc>
      </w:tr>
      <w:tr w:rsidR="004F4E42" w:rsidRPr="001205B7" w14:paraId="0B19E32F" w14:textId="77777777" w:rsidTr="00F11780">
        <w:trPr>
          <w:jc w:val="center"/>
        </w:trPr>
        <w:tc>
          <w:tcPr>
            <w:tcW w:w="8296" w:type="dxa"/>
            <w:gridSpan w:val="3"/>
            <w:shd w:val="clear" w:color="auto" w:fill="auto"/>
            <w:vAlign w:val="center"/>
          </w:tcPr>
          <w:p w14:paraId="382F5698" w14:textId="77777777" w:rsidR="004F4E42" w:rsidRDefault="00253E02" w:rsidP="00F11780">
            <w:pPr>
              <w:rPr>
                <w:rFonts w:ascii="MS Gothic" w:eastAsia="MS Gothic" w:hAnsi="MS Gothic"/>
                <w:sz w:val="28"/>
                <w:szCs w:val="28"/>
              </w:rPr>
            </w:pPr>
            <w:sdt>
              <w:sdtPr>
                <w:rPr>
                  <w:sz w:val="28"/>
                  <w:szCs w:val="28"/>
                </w:rPr>
                <w:id w:val="-1118989418"/>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citi tehniskie līdzekļi </w:t>
            </w:r>
            <w:r w:rsidR="004F4E42">
              <w:rPr>
                <w:rFonts w:eastAsia="Calibri"/>
                <w:i/>
                <w:iCs/>
              </w:rPr>
              <w:t>(norādīt, kādi)</w:t>
            </w:r>
          </w:p>
        </w:tc>
      </w:tr>
      <w:tr w:rsidR="004F4E42" w:rsidRPr="003602C6" w14:paraId="5720B83D" w14:textId="77777777" w:rsidTr="00F11780">
        <w:trPr>
          <w:jc w:val="center"/>
        </w:trPr>
        <w:tc>
          <w:tcPr>
            <w:tcW w:w="2765" w:type="dxa"/>
            <w:shd w:val="clear" w:color="auto" w:fill="auto"/>
            <w:vAlign w:val="center"/>
          </w:tcPr>
          <w:p w14:paraId="7B2D2D01" w14:textId="77777777" w:rsidR="004F4E42" w:rsidRDefault="004F4E42" w:rsidP="00F11780">
            <w:pPr>
              <w:rPr>
                <w:rFonts w:eastAsia="Calibri"/>
                <w:sz w:val="2"/>
                <w:szCs w:val="2"/>
              </w:rPr>
            </w:pPr>
          </w:p>
        </w:tc>
        <w:tc>
          <w:tcPr>
            <w:tcW w:w="2765" w:type="dxa"/>
            <w:shd w:val="clear" w:color="auto" w:fill="auto"/>
            <w:vAlign w:val="center"/>
          </w:tcPr>
          <w:p w14:paraId="0F2482A4" w14:textId="77777777" w:rsidR="004F4E42" w:rsidRDefault="004F4E42" w:rsidP="00F11780">
            <w:pPr>
              <w:rPr>
                <w:rFonts w:eastAsia="Calibri"/>
                <w:sz w:val="2"/>
                <w:szCs w:val="2"/>
              </w:rPr>
            </w:pPr>
          </w:p>
        </w:tc>
        <w:tc>
          <w:tcPr>
            <w:tcW w:w="2766" w:type="dxa"/>
            <w:shd w:val="clear" w:color="auto" w:fill="auto"/>
            <w:vAlign w:val="center"/>
          </w:tcPr>
          <w:p w14:paraId="06B48A0D" w14:textId="77777777" w:rsidR="004F4E42" w:rsidRDefault="004F4E42" w:rsidP="00F11780">
            <w:pPr>
              <w:rPr>
                <w:rFonts w:eastAsia="Calibri"/>
                <w:sz w:val="2"/>
                <w:szCs w:val="2"/>
              </w:rPr>
            </w:pPr>
          </w:p>
        </w:tc>
      </w:tr>
    </w:tbl>
    <w:p w14:paraId="1D48D9BF" w14:textId="77777777" w:rsidR="004F4E42" w:rsidRDefault="004F4E42" w:rsidP="004F4E42">
      <w:pPr>
        <w:rPr>
          <w:sz w:val="22"/>
          <w:szCs w:val="22"/>
        </w:rPr>
      </w:pPr>
    </w:p>
    <w:p w14:paraId="0ED64935" w14:textId="77777777" w:rsidR="004F4E42" w:rsidRDefault="004F4E42" w:rsidP="004F4E42">
      <w:pPr>
        <w:rPr>
          <w:sz w:val="22"/>
          <w:szCs w:val="22"/>
        </w:rPr>
      </w:pPr>
    </w:p>
    <w:p w14:paraId="4DC34168" w14:textId="77777777" w:rsidR="004F4E42" w:rsidRPr="004267AC" w:rsidRDefault="004F4E42" w:rsidP="004F4E42">
      <w:pPr>
        <w:jc w:val="center"/>
        <w:rPr>
          <w:b/>
          <w:bCs/>
        </w:rPr>
      </w:pPr>
      <w:r w:rsidRPr="004267AC">
        <w:rPr>
          <w:b/>
          <w:bCs/>
        </w:rPr>
        <w:t>Satiksmes organizācijas tehnisko līdzekļu paredzamā vieta:</w:t>
      </w:r>
    </w:p>
    <w:p w14:paraId="56B113BD" w14:textId="77777777" w:rsidR="004F4E42" w:rsidRDefault="004F4E42" w:rsidP="004F4E42">
      <w:pPr>
        <w:rPr>
          <w:sz w:val="22"/>
          <w:szCs w:val="22"/>
        </w:rPr>
      </w:pPr>
    </w:p>
    <w:tbl>
      <w:tblPr>
        <w:tblW w:w="9290" w:type="dxa"/>
        <w:jc w:val="center"/>
        <w:tblLook w:val="04A0" w:firstRow="1" w:lastRow="0" w:firstColumn="1" w:lastColumn="0" w:noHBand="0" w:noVBand="1"/>
      </w:tblPr>
      <w:tblGrid>
        <w:gridCol w:w="9290"/>
      </w:tblGrid>
      <w:tr w:rsidR="004F4E42" w:rsidRPr="000F0FA9" w14:paraId="0EEB2454" w14:textId="77777777" w:rsidTr="00F11780">
        <w:trPr>
          <w:jc w:val="center"/>
        </w:trPr>
        <w:tc>
          <w:tcPr>
            <w:tcW w:w="9290" w:type="dxa"/>
            <w:tcBorders>
              <w:bottom w:val="single" w:sz="4" w:space="0" w:color="auto"/>
            </w:tcBorders>
            <w:shd w:val="clear" w:color="auto" w:fill="auto"/>
            <w:vAlign w:val="center"/>
          </w:tcPr>
          <w:p w14:paraId="624F1525" w14:textId="77777777" w:rsidR="004F4E42" w:rsidRDefault="004F4E42" w:rsidP="00F11780">
            <w:pPr>
              <w:jc w:val="center"/>
              <w:rPr>
                <w:rFonts w:eastAsia="Calibri"/>
                <w:b/>
              </w:rPr>
            </w:pPr>
            <w:r>
              <w:rPr>
                <w:rFonts w:eastAsia="Calibri"/>
                <w:b/>
              </w:rPr>
              <w:t xml:space="preserve"> </w:t>
            </w:r>
          </w:p>
        </w:tc>
      </w:tr>
      <w:tr w:rsidR="004F4E42" w:rsidRPr="000F0FA9" w14:paraId="758E3C76" w14:textId="77777777" w:rsidTr="00F11780">
        <w:trPr>
          <w:jc w:val="center"/>
        </w:trPr>
        <w:tc>
          <w:tcPr>
            <w:tcW w:w="9290" w:type="dxa"/>
            <w:tcBorders>
              <w:top w:val="single" w:sz="4" w:space="0" w:color="auto"/>
            </w:tcBorders>
            <w:shd w:val="clear" w:color="auto" w:fill="auto"/>
            <w:vAlign w:val="center"/>
          </w:tcPr>
          <w:p w14:paraId="6DDD75F7" w14:textId="77777777" w:rsidR="004F4E42" w:rsidRDefault="004F4E42" w:rsidP="00F11780">
            <w:pPr>
              <w:jc w:val="center"/>
              <w:rPr>
                <w:rFonts w:eastAsia="Calibri"/>
                <w:sz w:val="20"/>
                <w:szCs w:val="20"/>
              </w:rPr>
            </w:pPr>
            <w:r>
              <w:rPr>
                <w:rFonts w:eastAsia="Calibri"/>
                <w:sz w:val="20"/>
                <w:szCs w:val="20"/>
              </w:rPr>
              <w:t>(adrese vai atrašanās vieta)</w:t>
            </w:r>
          </w:p>
          <w:p w14:paraId="6403818F" w14:textId="77777777" w:rsidR="004F4E42" w:rsidRDefault="004F4E42" w:rsidP="00F11780">
            <w:pPr>
              <w:jc w:val="center"/>
              <w:rPr>
                <w:rFonts w:eastAsia="Calibri"/>
                <w:sz w:val="20"/>
                <w:szCs w:val="20"/>
              </w:rPr>
            </w:pPr>
          </w:p>
        </w:tc>
      </w:tr>
      <w:tr w:rsidR="004F4E42" w:rsidRPr="000F0FA9" w14:paraId="17394714" w14:textId="77777777" w:rsidTr="00F11780">
        <w:trPr>
          <w:jc w:val="center"/>
        </w:trPr>
        <w:tc>
          <w:tcPr>
            <w:tcW w:w="9290" w:type="dxa"/>
            <w:tcBorders>
              <w:bottom w:val="single" w:sz="4" w:space="0" w:color="auto"/>
            </w:tcBorders>
            <w:shd w:val="clear" w:color="auto" w:fill="auto"/>
            <w:vAlign w:val="center"/>
          </w:tcPr>
          <w:p w14:paraId="6CB2822F" w14:textId="77777777" w:rsidR="004F4E42" w:rsidRDefault="004F4E42" w:rsidP="00F11780">
            <w:pPr>
              <w:jc w:val="center"/>
              <w:rPr>
                <w:rFonts w:eastAsia="Calibri"/>
                <w:b/>
              </w:rPr>
            </w:pPr>
          </w:p>
        </w:tc>
      </w:tr>
      <w:tr w:rsidR="004F4E42" w:rsidRPr="000F0FA9" w14:paraId="335DFCBF" w14:textId="77777777" w:rsidTr="00F11780">
        <w:trPr>
          <w:jc w:val="center"/>
        </w:trPr>
        <w:tc>
          <w:tcPr>
            <w:tcW w:w="9290" w:type="dxa"/>
            <w:tcBorders>
              <w:top w:val="single" w:sz="4" w:space="0" w:color="auto"/>
            </w:tcBorders>
            <w:shd w:val="clear" w:color="auto" w:fill="auto"/>
            <w:vAlign w:val="center"/>
          </w:tcPr>
          <w:p w14:paraId="0B688370" w14:textId="77777777" w:rsidR="004F4E42" w:rsidRDefault="004F4E42" w:rsidP="00F11780">
            <w:pPr>
              <w:jc w:val="center"/>
              <w:rPr>
                <w:rFonts w:eastAsia="Calibri"/>
                <w:sz w:val="20"/>
                <w:szCs w:val="20"/>
              </w:rPr>
            </w:pPr>
            <w:bookmarkStart w:id="3" w:name="_Hlk117630049"/>
            <w:r>
              <w:rPr>
                <w:rFonts w:eastAsia="Calibri"/>
                <w:sz w:val="20"/>
                <w:szCs w:val="20"/>
              </w:rPr>
              <w:t>(zemes kadastra apzīmējums)</w:t>
            </w:r>
          </w:p>
          <w:p w14:paraId="438729DE" w14:textId="77777777" w:rsidR="004F4E42" w:rsidRDefault="004F4E42" w:rsidP="00F11780">
            <w:pPr>
              <w:jc w:val="center"/>
              <w:rPr>
                <w:rFonts w:eastAsia="Calibri"/>
                <w:sz w:val="20"/>
                <w:szCs w:val="20"/>
              </w:rPr>
            </w:pPr>
          </w:p>
        </w:tc>
      </w:tr>
    </w:tbl>
    <w:bookmarkEnd w:id="3"/>
    <w:p w14:paraId="37B5EFB9" w14:textId="77777777" w:rsidR="004F4E42" w:rsidRDefault="004F4E42" w:rsidP="004F4E42">
      <w:pPr>
        <w:rPr>
          <w:b/>
          <w:bCs/>
        </w:rPr>
      </w:pPr>
      <w:r w:rsidRPr="004267AC">
        <w:rPr>
          <w:b/>
          <w:bCs/>
        </w:rPr>
        <w:t>Pielikumā:</w:t>
      </w:r>
    </w:p>
    <w:p w14:paraId="59BA58DC" w14:textId="77777777" w:rsidR="004F4E42" w:rsidRPr="00562410" w:rsidRDefault="004F4E42" w:rsidP="004F4E42">
      <w:pPr>
        <w:rPr>
          <w:i/>
          <w:iCs/>
          <w:sz w:val="20"/>
          <w:szCs w:val="20"/>
        </w:rPr>
      </w:pPr>
      <w:r w:rsidRPr="00562410">
        <w:rPr>
          <w:i/>
          <w:iCs/>
          <w:sz w:val="20"/>
          <w:szCs w:val="20"/>
        </w:rPr>
        <w:t>(atzīmēt nepieciešamo)</w:t>
      </w:r>
    </w:p>
    <w:tbl>
      <w:tblPr>
        <w:tblW w:w="0" w:type="auto"/>
        <w:jc w:val="center"/>
        <w:tblLook w:val="04A0" w:firstRow="1" w:lastRow="0" w:firstColumn="1" w:lastColumn="0" w:noHBand="0" w:noVBand="1"/>
      </w:tblPr>
      <w:tblGrid>
        <w:gridCol w:w="2765"/>
        <w:gridCol w:w="2765"/>
        <w:gridCol w:w="2766"/>
      </w:tblGrid>
      <w:tr w:rsidR="004F4E42" w:rsidRPr="001205B7" w14:paraId="7510BB89" w14:textId="77777777" w:rsidTr="00F11780">
        <w:trPr>
          <w:jc w:val="center"/>
        </w:trPr>
        <w:tc>
          <w:tcPr>
            <w:tcW w:w="8296" w:type="dxa"/>
            <w:gridSpan w:val="3"/>
            <w:shd w:val="clear" w:color="auto" w:fill="auto"/>
            <w:vAlign w:val="center"/>
          </w:tcPr>
          <w:p w14:paraId="5CEFC2CB" w14:textId="77777777" w:rsidR="004F4E42" w:rsidRDefault="00253E02" w:rsidP="00F11780">
            <w:pPr>
              <w:rPr>
                <w:rFonts w:eastAsia="Calibri"/>
              </w:rPr>
            </w:pPr>
            <w:sdt>
              <w:sdtPr>
                <w:rPr>
                  <w:sz w:val="28"/>
                  <w:szCs w:val="28"/>
                </w:rPr>
                <w:id w:val="982815927"/>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Satiksmes organizācijas tehniskā līdzekļa izvietojuma shēma</w:t>
            </w:r>
          </w:p>
        </w:tc>
      </w:tr>
      <w:tr w:rsidR="004F4E42" w:rsidRPr="001205B7" w14:paraId="397C618D" w14:textId="77777777" w:rsidTr="00F11780">
        <w:trPr>
          <w:jc w:val="center"/>
        </w:trPr>
        <w:tc>
          <w:tcPr>
            <w:tcW w:w="8296" w:type="dxa"/>
            <w:gridSpan w:val="3"/>
            <w:shd w:val="clear" w:color="auto" w:fill="auto"/>
            <w:vAlign w:val="center"/>
          </w:tcPr>
          <w:p w14:paraId="1DF77626" w14:textId="77777777" w:rsidR="004F4E42" w:rsidRDefault="00253E02" w:rsidP="00F11780">
            <w:pPr>
              <w:rPr>
                <w:rFonts w:ascii="MS Gothic" w:eastAsia="MS Gothic" w:hAnsi="MS Gothic"/>
                <w:sz w:val="28"/>
                <w:szCs w:val="28"/>
              </w:rPr>
            </w:pPr>
            <w:sdt>
              <w:sdtPr>
                <w:rPr>
                  <w:sz w:val="28"/>
                  <w:szCs w:val="28"/>
                </w:rPr>
                <w:id w:val="-1964560347"/>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Satiksmes organizācijas tehniskā līdzekļa izvietojuma projekts</w:t>
            </w:r>
          </w:p>
        </w:tc>
      </w:tr>
      <w:tr w:rsidR="004F4E42" w:rsidRPr="001205B7" w14:paraId="57E8A43B" w14:textId="77777777" w:rsidTr="00F11780">
        <w:trPr>
          <w:jc w:val="center"/>
        </w:trPr>
        <w:tc>
          <w:tcPr>
            <w:tcW w:w="8296" w:type="dxa"/>
            <w:gridSpan w:val="3"/>
            <w:shd w:val="clear" w:color="auto" w:fill="auto"/>
            <w:vAlign w:val="center"/>
          </w:tcPr>
          <w:p w14:paraId="73B73E94" w14:textId="77777777" w:rsidR="004F4E42" w:rsidRDefault="00253E02" w:rsidP="00F11780">
            <w:pPr>
              <w:ind w:left="354" w:hanging="354"/>
              <w:rPr>
                <w:rFonts w:ascii="MS Gothic" w:eastAsia="MS Gothic" w:hAnsi="MS Gothic"/>
                <w:sz w:val="28"/>
                <w:szCs w:val="28"/>
              </w:rPr>
            </w:pPr>
            <w:sdt>
              <w:sdtPr>
                <w:rPr>
                  <w:sz w:val="28"/>
                  <w:szCs w:val="28"/>
                </w:rPr>
                <w:id w:val="-265459513"/>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Daudzdzīvokļu dzīvojamās mājas dzīvokļu īpašnieku kopības lēmuma izraksts      (</w:t>
            </w:r>
            <w:r w:rsidR="004F4E42">
              <w:rPr>
                <w:rFonts w:eastAsia="Calibri"/>
                <w:i/>
                <w:iCs/>
              </w:rPr>
              <w:t>lēmums pieņemts Dzīvokļa īpašuma likumā noteiktajā kārtībā</w:t>
            </w:r>
            <w:r w:rsidR="004F4E42">
              <w:rPr>
                <w:rFonts w:eastAsia="Calibri"/>
              </w:rPr>
              <w:t>)</w:t>
            </w:r>
          </w:p>
        </w:tc>
      </w:tr>
      <w:tr w:rsidR="004F4E42" w:rsidRPr="001205B7" w14:paraId="50AFF56C" w14:textId="77777777" w:rsidTr="00F11780">
        <w:trPr>
          <w:jc w:val="center"/>
        </w:trPr>
        <w:tc>
          <w:tcPr>
            <w:tcW w:w="8296" w:type="dxa"/>
            <w:gridSpan w:val="3"/>
            <w:shd w:val="clear" w:color="auto" w:fill="auto"/>
            <w:vAlign w:val="center"/>
          </w:tcPr>
          <w:p w14:paraId="12F15E01" w14:textId="77777777" w:rsidR="004F4E42" w:rsidRDefault="00253E02" w:rsidP="00F11780">
            <w:pPr>
              <w:rPr>
                <w:rFonts w:ascii="MS Gothic" w:eastAsia="MS Gothic" w:hAnsi="MS Gothic"/>
                <w:sz w:val="28"/>
                <w:szCs w:val="28"/>
              </w:rPr>
            </w:pPr>
            <w:sdt>
              <w:sdtPr>
                <w:rPr>
                  <w:sz w:val="28"/>
                  <w:szCs w:val="28"/>
                </w:rPr>
                <w:id w:val="1070624514"/>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Zemes gabala robežu plāna kopija</w:t>
            </w:r>
          </w:p>
        </w:tc>
      </w:tr>
      <w:tr w:rsidR="004F4E42" w:rsidRPr="001205B7" w14:paraId="5413A8E1" w14:textId="77777777" w:rsidTr="00F11780">
        <w:trPr>
          <w:jc w:val="center"/>
        </w:trPr>
        <w:tc>
          <w:tcPr>
            <w:tcW w:w="8296" w:type="dxa"/>
            <w:gridSpan w:val="3"/>
            <w:shd w:val="clear" w:color="auto" w:fill="auto"/>
            <w:vAlign w:val="center"/>
          </w:tcPr>
          <w:p w14:paraId="09671EC2" w14:textId="77777777" w:rsidR="004F4E42" w:rsidRDefault="00253E02" w:rsidP="00F11780">
            <w:pPr>
              <w:rPr>
                <w:rFonts w:ascii="MS Gothic" w:eastAsia="MS Gothic" w:hAnsi="MS Gothic"/>
                <w:sz w:val="28"/>
                <w:szCs w:val="28"/>
              </w:rPr>
            </w:pPr>
            <w:sdt>
              <w:sdtPr>
                <w:rPr>
                  <w:sz w:val="28"/>
                  <w:szCs w:val="28"/>
                </w:rPr>
                <w:id w:val="904329400"/>
                <w14:checkbox>
                  <w14:checked w14:val="0"/>
                  <w14:checkedState w14:val="00FE" w14:font="Wingdings"/>
                  <w14:uncheckedState w14:val="2610" w14:font="MS Gothic"/>
                </w14:checkbox>
              </w:sdtPr>
              <w:sdtEndPr/>
              <w:sdtContent>
                <w:r w:rsidR="004F4E42">
                  <w:rPr>
                    <w:rFonts w:ascii="MS Gothic" w:eastAsia="MS Gothic" w:hAnsi="MS Gothic" w:hint="eastAsia"/>
                    <w:sz w:val="28"/>
                    <w:szCs w:val="28"/>
                  </w:rPr>
                  <w:t>☐</w:t>
                </w:r>
              </w:sdtContent>
            </w:sdt>
            <w:r w:rsidR="004F4E42">
              <w:rPr>
                <w:rFonts w:eastAsia="Calibri"/>
              </w:rPr>
              <w:t xml:space="preserve"> Citi dokumenti </w:t>
            </w:r>
            <w:r w:rsidR="004F4E42">
              <w:rPr>
                <w:rFonts w:eastAsia="Calibri"/>
                <w:i/>
                <w:iCs/>
              </w:rPr>
              <w:t>(uzskaitīt, kādi)</w:t>
            </w:r>
          </w:p>
        </w:tc>
      </w:tr>
      <w:tr w:rsidR="004F4E42" w:rsidRPr="003602C6" w14:paraId="77505EC5" w14:textId="77777777" w:rsidTr="00F11780">
        <w:trPr>
          <w:jc w:val="center"/>
        </w:trPr>
        <w:tc>
          <w:tcPr>
            <w:tcW w:w="2765" w:type="dxa"/>
            <w:shd w:val="clear" w:color="auto" w:fill="auto"/>
            <w:vAlign w:val="center"/>
          </w:tcPr>
          <w:p w14:paraId="1142A69E" w14:textId="77777777" w:rsidR="004F4E42" w:rsidRDefault="004F4E42" w:rsidP="00F11780">
            <w:pPr>
              <w:rPr>
                <w:rFonts w:eastAsia="Calibri"/>
                <w:sz w:val="2"/>
                <w:szCs w:val="2"/>
              </w:rPr>
            </w:pPr>
          </w:p>
        </w:tc>
        <w:tc>
          <w:tcPr>
            <w:tcW w:w="2765" w:type="dxa"/>
            <w:shd w:val="clear" w:color="auto" w:fill="auto"/>
            <w:vAlign w:val="center"/>
          </w:tcPr>
          <w:p w14:paraId="44FEBDEF" w14:textId="77777777" w:rsidR="004F4E42" w:rsidRDefault="004F4E42" w:rsidP="00F11780">
            <w:pPr>
              <w:rPr>
                <w:rFonts w:eastAsia="Calibri"/>
                <w:sz w:val="2"/>
                <w:szCs w:val="2"/>
              </w:rPr>
            </w:pPr>
          </w:p>
        </w:tc>
        <w:tc>
          <w:tcPr>
            <w:tcW w:w="2766" w:type="dxa"/>
            <w:shd w:val="clear" w:color="auto" w:fill="auto"/>
            <w:vAlign w:val="center"/>
          </w:tcPr>
          <w:p w14:paraId="7BC95F0D" w14:textId="77777777" w:rsidR="004F4E42" w:rsidRDefault="004F4E42" w:rsidP="00F11780">
            <w:pPr>
              <w:rPr>
                <w:rFonts w:eastAsia="Calibri"/>
                <w:sz w:val="2"/>
                <w:szCs w:val="2"/>
              </w:rPr>
            </w:pPr>
          </w:p>
        </w:tc>
      </w:tr>
    </w:tbl>
    <w:p w14:paraId="61509EE1" w14:textId="77777777" w:rsidR="004F4E42" w:rsidRPr="004267AC" w:rsidRDefault="004F4E42" w:rsidP="004F4E42">
      <w:pPr>
        <w:rPr>
          <w:b/>
          <w:bCs/>
        </w:rPr>
      </w:pPr>
    </w:p>
    <w:p w14:paraId="6CEC0C8E" w14:textId="77777777" w:rsidR="004F4E42" w:rsidRDefault="004F4E42" w:rsidP="004F4E42">
      <w:pPr>
        <w:rPr>
          <w:sz w:val="22"/>
          <w:szCs w:val="22"/>
        </w:rPr>
      </w:pPr>
    </w:p>
    <w:p w14:paraId="36AA963A" w14:textId="77777777" w:rsidR="004F4E42" w:rsidRDefault="004F4E42" w:rsidP="004F4E42">
      <w:pPr>
        <w:rPr>
          <w:sz w:val="22"/>
          <w:szCs w:val="22"/>
        </w:rPr>
      </w:pPr>
    </w:p>
    <w:tbl>
      <w:tblPr>
        <w:tblW w:w="0" w:type="auto"/>
        <w:tblLook w:val="01E0" w:firstRow="1" w:lastRow="1" w:firstColumn="1" w:lastColumn="1" w:noHBand="0" w:noVBand="0"/>
      </w:tblPr>
      <w:tblGrid>
        <w:gridCol w:w="1905"/>
        <w:gridCol w:w="723"/>
        <w:gridCol w:w="3960"/>
        <w:gridCol w:w="937"/>
        <w:gridCol w:w="2045"/>
      </w:tblGrid>
      <w:tr w:rsidR="004F4E42" w:rsidRPr="000F0FA9" w14:paraId="42A3D0D4" w14:textId="77777777" w:rsidTr="00F11780">
        <w:tc>
          <w:tcPr>
            <w:tcW w:w="1905" w:type="dxa"/>
            <w:tcBorders>
              <w:bottom w:val="single" w:sz="4" w:space="0" w:color="auto"/>
            </w:tcBorders>
            <w:shd w:val="clear" w:color="auto" w:fill="auto"/>
          </w:tcPr>
          <w:p w14:paraId="4952059D" w14:textId="77777777" w:rsidR="004F4E42" w:rsidRDefault="004F4E42" w:rsidP="00F11780">
            <w:pPr>
              <w:rPr>
                <w:rFonts w:eastAsia="Calibri"/>
                <w:sz w:val="22"/>
                <w:szCs w:val="22"/>
              </w:rPr>
            </w:pPr>
          </w:p>
        </w:tc>
        <w:tc>
          <w:tcPr>
            <w:tcW w:w="723" w:type="dxa"/>
            <w:shd w:val="clear" w:color="auto" w:fill="auto"/>
          </w:tcPr>
          <w:p w14:paraId="6AAE2A01" w14:textId="77777777" w:rsidR="004F4E42" w:rsidRDefault="004F4E42" w:rsidP="00F11780">
            <w:pPr>
              <w:rPr>
                <w:rFonts w:eastAsia="Calibri"/>
                <w:sz w:val="22"/>
                <w:szCs w:val="22"/>
              </w:rPr>
            </w:pPr>
          </w:p>
        </w:tc>
        <w:tc>
          <w:tcPr>
            <w:tcW w:w="3960" w:type="dxa"/>
            <w:tcBorders>
              <w:bottom w:val="single" w:sz="4" w:space="0" w:color="auto"/>
            </w:tcBorders>
            <w:shd w:val="clear" w:color="auto" w:fill="auto"/>
          </w:tcPr>
          <w:p w14:paraId="368E5DA1" w14:textId="77777777" w:rsidR="004F4E42" w:rsidRDefault="004F4E42" w:rsidP="00F11780">
            <w:pPr>
              <w:rPr>
                <w:rFonts w:eastAsia="Calibri"/>
                <w:sz w:val="22"/>
                <w:szCs w:val="22"/>
              </w:rPr>
            </w:pPr>
          </w:p>
        </w:tc>
        <w:tc>
          <w:tcPr>
            <w:tcW w:w="937" w:type="dxa"/>
            <w:shd w:val="clear" w:color="auto" w:fill="auto"/>
          </w:tcPr>
          <w:p w14:paraId="0EAAA73C" w14:textId="77777777" w:rsidR="004F4E42" w:rsidRDefault="004F4E42" w:rsidP="00F11780">
            <w:pPr>
              <w:rPr>
                <w:rFonts w:eastAsia="Calibri"/>
                <w:sz w:val="22"/>
                <w:szCs w:val="22"/>
              </w:rPr>
            </w:pPr>
          </w:p>
        </w:tc>
        <w:tc>
          <w:tcPr>
            <w:tcW w:w="2045" w:type="dxa"/>
            <w:tcBorders>
              <w:bottom w:val="single" w:sz="4" w:space="0" w:color="auto"/>
            </w:tcBorders>
            <w:shd w:val="clear" w:color="auto" w:fill="auto"/>
          </w:tcPr>
          <w:p w14:paraId="43DE4FAF" w14:textId="77777777" w:rsidR="004F4E42" w:rsidRDefault="004F4E42" w:rsidP="00F11780">
            <w:pPr>
              <w:rPr>
                <w:rFonts w:eastAsia="Calibri"/>
                <w:sz w:val="22"/>
                <w:szCs w:val="22"/>
              </w:rPr>
            </w:pPr>
          </w:p>
        </w:tc>
      </w:tr>
      <w:tr w:rsidR="004F4E42" w:rsidRPr="000F0FA9" w14:paraId="205DDE25" w14:textId="77777777" w:rsidTr="00F11780">
        <w:tc>
          <w:tcPr>
            <w:tcW w:w="1905" w:type="dxa"/>
            <w:tcBorders>
              <w:top w:val="single" w:sz="4" w:space="0" w:color="auto"/>
            </w:tcBorders>
            <w:shd w:val="clear" w:color="auto" w:fill="auto"/>
          </w:tcPr>
          <w:p w14:paraId="218F3035" w14:textId="77777777" w:rsidR="004F4E42" w:rsidRDefault="004F4E42" w:rsidP="00F11780">
            <w:pPr>
              <w:jc w:val="center"/>
              <w:rPr>
                <w:rFonts w:eastAsia="Calibri"/>
                <w:sz w:val="20"/>
                <w:szCs w:val="20"/>
              </w:rPr>
            </w:pPr>
            <w:r>
              <w:rPr>
                <w:rFonts w:eastAsia="Calibri"/>
                <w:sz w:val="20"/>
                <w:szCs w:val="20"/>
              </w:rPr>
              <w:t>(datums)</w:t>
            </w:r>
          </w:p>
        </w:tc>
        <w:tc>
          <w:tcPr>
            <w:tcW w:w="723" w:type="dxa"/>
            <w:shd w:val="clear" w:color="auto" w:fill="auto"/>
          </w:tcPr>
          <w:p w14:paraId="0D3916E8" w14:textId="77777777" w:rsidR="004F4E42" w:rsidRDefault="004F4E42" w:rsidP="00F11780">
            <w:pPr>
              <w:jc w:val="center"/>
              <w:rPr>
                <w:rFonts w:eastAsia="Calibri"/>
                <w:sz w:val="20"/>
                <w:szCs w:val="20"/>
              </w:rPr>
            </w:pPr>
          </w:p>
        </w:tc>
        <w:tc>
          <w:tcPr>
            <w:tcW w:w="3960" w:type="dxa"/>
            <w:tcBorders>
              <w:top w:val="single" w:sz="4" w:space="0" w:color="auto"/>
            </w:tcBorders>
            <w:shd w:val="clear" w:color="auto" w:fill="auto"/>
          </w:tcPr>
          <w:p w14:paraId="623077DA" w14:textId="77777777" w:rsidR="004F4E42" w:rsidRDefault="004F4E42" w:rsidP="00F11780">
            <w:pPr>
              <w:jc w:val="center"/>
              <w:rPr>
                <w:rFonts w:eastAsia="Calibri"/>
                <w:sz w:val="20"/>
                <w:szCs w:val="20"/>
              </w:rPr>
            </w:pPr>
            <w:r>
              <w:rPr>
                <w:rFonts w:eastAsia="Calibri"/>
                <w:sz w:val="20"/>
                <w:szCs w:val="20"/>
              </w:rPr>
              <w:t>(paraksts)</w:t>
            </w:r>
          </w:p>
        </w:tc>
        <w:tc>
          <w:tcPr>
            <w:tcW w:w="937" w:type="dxa"/>
            <w:shd w:val="clear" w:color="auto" w:fill="auto"/>
          </w:tcPr>
          <w:p w14:paraId="7872E186" w14:textId="77777777" w:rsidR="004F4E42" w:rsidRDefault="004F4E42" w:rsidP="00F11780">
            <w:pPr>
              <w:jc w:val="center"/>
              <w:rPr>
                <w:rFonts w:eastAsia="Calibri"/>
                <w:sz w:val="20"/>
                <w:szCs w:val="20"/>
              </w:rPr>
            </w:pPr>
          </w:p>
        </w:tc>
        <w:tc>
          <w:tcPr>
            <w:tcW w:w="2045" w:type="dxa"/>
            <w:tcBorders>
              <w:top w:val="single" w:sz="4" w:space="0" w:color="auto"/>
            </w:tcBorders>
            <w:shd w:val="clear" w:color="auto" w:fill="auto"/>
          </w:tcPr>
          <w:p w14:paraId="6A42D121" w14:textId="77777777" w:rsidR="004F4E42" w:rsidRDefault="004F4E42" w:rsidP="00F11780">
            <w:pPr>
              <w:jc w:val="center"/>
              <w:rPr>
                <w:rFonts w:eastAsia="Calibri"/>
                <w:sz w:val="20"/>
                <w:szCs w:val="20"/>
              </w:rPr>
            </w:pPr>
            <w:r>
              <w:rPr>
                <w:rFonts w:eastAsia="Calibri"/>
                <w:sz w:val="20"/>
                <w:szCs w:val="20"/>
              </w:rPr>
              <w:t>(paraksta atšifrējums)</w:t>
            </w:r>
          </w:p>
        </w:tc>
      </w:tr>
    </w:tbl>
    <w:p w14:paraId="4C1FEE48" w14:textId="77777777" w:rsidR="004F4E42" w:rsidRDefault="004F4E42" w:rsidP="004F4E42">
      <w:pPr>
        <w:ind w:left="6480" w:firstLine="720"/>
        <w:rPr>
          <w:sz w:val="22"/>
          <w:szCs w:val="22"/>
        </w:rPr>
      </w:pPr>
    </w:p>
    <w:p w14:paraId="00052CE2" w14:textId="77777777" w:rsidR="004F4E42" w:rsidRDefault="004F4E42" w:rsidP="004F4E42">
      <w:pPr>
        <w:ind w:left="6480" w:firstLine="720"/>
        <w:rPr>
          <w:sz w:val="22"/>
          <w:szCs w:val="22"/>
        </w:rPr>
      </w:pPr>
    </w:p>
    <w:p w14:paraId="61977CB7" w14:textId="77777777" w:rsidR="004F4E42" w:rsidRDefault="004F4E42" w:rsidP="004F4E42">
      <w:pPr>
        <w:jc w:val="both"/>
        <w:rPr>
          <w:i/>
          <w:iCs/>
          <w:sz w:val="20"/>
          <w:szCs w:val="20"/>
        </w:rPr>
      </w:pPr>
    </w:p>
    <w:p w14:paraId="0B98758A" w14:textId="4FD7D540" w:rsidR="004F4E42" w:rsidRPr="004267AC" w:rsidRDefault="004F4E42" w:rsidP="004F4E42">
      <w:pPr>
        <w:jc w:val="both"/>
        <w:rPr>
          <w:i/>
          <w:iCs/>
          <w:sz w:val="20"/>
          <w:szCs w:val="20"/>
        </w:rPr>
      </w:pPr>
      <w:r>
        <w:rPr>
          <w:i/>
          <w:iCs/>
          <w:sz w:val="20"/>
          <w:szCs w:val="20"/>
        </w:rPr>
        <w:t>*</w:t>
      </w:r>
      <w:r w:rsidRPr="004267AC">
        <w:rPr>
          <w:i/>
          <w:iCs/>
          <w:sz w:val="20"/>
          <w:szCs w:val="20"/>
        </w:rPr>
        <w:t xml:space="preserve">Saņemtā informācija ir aizsargāta un tajā iekļautās informācijas apstrāde, ja tā saistās ar personas datiem, tiek izmantota un apstrādāta atbilstoši Eiropas Parlamenta un </w:t>
      </w:r>
      <w:r w:rsidR="00D71834">
        <w:rPr>
          <w:i/>
          <w:iCs/>
          <w:sz w:val="20"/>
          <w:szCs w:val="20"/>
        </w:rPr>
        <w:t>Padomes Regulai (ES) 2016/679 (</w:t>
      </w:r>
      <w:r w:rsidRPr="004267AC">
        <w:rPr>
          <w:i/>
          <w:iCs/>
          <w:sz w:val="20"/>
          <w:szCs w:val="20"/>
        </w:rPr>
        <w:t>2016.gada 27.aprīlis).</w:t>
      </w:r>
    </w:p>
    <w:sectPr w:rsidR="004F4E42" w:rsidRPr="004267AC" w:rsidSect="00D71834">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67DE7" w14:textId="77777777" w:rsidR="00253E02" w:rsidRDefault="00253E02" w:rsidP="009266D9">
      <w:r>
        <w:separator/>
      </w:r>
    </w:p>
  </w:endnote>
  <w:endnote w:type="continuationSeparator" w:id="0">
    <w:p w14:paraId="5AF22608" w14:textId="77777777" w:rsidR="00253E02" w:rsidRDefault="00253E02" w:rsidP="00926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F7D3F" w14:textId="77777777" w:rsidR="00253E02" w:rsidRDefault="00253E02" w:rsidP="009266D9">
      <w:r>
        <w:separator/>
      </w:r>
    </w:p>
  </w:footnote>
  <w:footnote w:type="continuationSeparator" w:id="0">
    <w:p w14:paraId="3F573FE4" w14:textId="77777777" w:rsidR="00253E02" w:rsidRDefault="00253E02" w:rsidP="00926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034681"/>
      <w:docPartObj>
        <w:docPartGallery w:val="Page Numbers (Top of Page)"/>
        <w:docPartUnique/>
      </w:docPartObj>
    </w:sdtPr>
    <w:sdtEndPr/>
    <w:sdtContent>
      <w:p w14:paraId="5020BC61" w14:textId="77777777" w:rsidR="0019147E" w:rsidRDefault="0019147E">
        <w:pPr>
          <w:pStyle w:val="Galvene"/>
          <w:jc w:val="center"/>
        </w:pPr>
        <w:r>
          <w:fldChar w:fldCharType="begin"/>
        </w:r>
        <w:r>
          <w:instrText>PAGE   \* MERGEFORMAT</w:instrText>
        </w:r>
        <w:r>
          <w:fldChar w:fldCharType="separate"/>
        </w:r>
        <w:r w:rsidR="003B2DA0">
          <w:rPr>
            <w:noProof/>
          </w:rPr>
          <w:t>2</w:t>
        </w:r>
        <w:r>
          <w:fldChar w:fldCharType="end"/>
        </w:r>
      </w:p>
    </w:sdtContent>
  </w:sdt>
  <w:p w14:paraId="12E7A9C3" w14:textId="77777777" w:rsidR="0019147E" w:rsidRDefault="0019147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B1395"/>
    <w:multiLevelType w:val="multilevel"/>
    <w:tmpl w:val="76981D24"/>
    <w:lvl w:ilvl="0">
      <w:start w:val="1"/>
      <w:numFmt w:val="decimal"/>
      <w:lvlText w:val="%1."/>
      <w:lvlJc w:val="left"/>
      <w:pPr>
        <w:ind w:left="644"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6663212"/>
    <w:multiLevelType w:val="hybridMultilevel"/>
    <w:tmpl w:val="3CCA5E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E3321F"/>
    <w:multiLevelType w:val="hybridMultilevel"/>
    <w:tmpl w:val="0100C9AE"/>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8B929D1"/>
    <w:multiLevelType w:val="hybridMultilevel"/>
    <w:tmpl w:val="F9C6D9C4"/>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0D200B"/>
    <w:multiLevelType w:val="hybridMultilevel"/>
    <w:tmpl w:val="E21041A2"/>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A512983"/>
    <w:multiLevelType w:val="hybridMultilevel"/>
    <w:tmpl w:val="76A2A7CE"/>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F860F0"/>
    <w:multiLevelType w:val="hybridMultilevel"/>
    <w:tmpl w:val="407C5B18"/>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B813DC"/>
    <w:multiLevelType w:val="multilevel"/>
    <w:tmpl w:val="D6E24056"/>
    <w:lvl w:ilvl="0">
      <w:start w:val="1"/>
      <w:numFmt w:val="decimal"/>
      <w:lvlText w:val="%1."/>
      <w:lvlJc w:val="left"/>
      <w:pPr>
        <w:ind w:left="644" w:hanging="360"/>
      </w:pPr>
      <w:rPr>
        <w:rFonts w:ascii="Times New Roman" w:eastAsia="Calibri" w:hAnsi="Times New Roman" w:cs="Times New Roman"/>
      </w:rPr>
    </w:lvl>
    <w:lvl w:ilvl="1">
      <w:start w:val="1"/>
      <w:numFmt w:val="decimal"/>
      <w:isLgl/>
      <w:lvlText w:val="%1.%2."/>
      <w:lvlJc w:val="left"/>
      <w:pPr>
        <w:ind w:left="19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0944EE3"/>
    <w:multiLevelType w:val="hybridMultilevel"/>
    <w:tmpl w:val="5DCCC3A6"/>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B11F10"/>
    <w:multiLevelType w:val="hybridMultilevel"/>
    <w:tmpl w:val="BC4060B4"/>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FF645D3"/>
    <w:multiLevelType w:val="hybridMultilevel"/>
    <w:tmpl w:val="FB605AD0"/>
    <w:lvl w:ilvl="0" w:tplc="34C49C4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0"/>
  </w:num>
  <w:num w:numId="3">
    <w:abstractNumId w:val="1"/>
  </w:num>
  <w:num w:numId="4">
    <w:abstractNumId w:val="3"/>
  </w:num>
  <w:num w:numId="5">
    <w:abstractNumId w:val="10"/>
  </w:num>
  <w:num w:numId="6">
    <w:abstractNumId w:val="4"/>
  </w:num>
  <w:num w:numId="7">
    <w:abstractNumId w:val="9"/>
  </w:num>
  <w:num w:numId="8">
    <w:abstractNumId w:val="6"/>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6D9"/>
    <w:rsid w:val="00024C84"/>
    <w:rsid w:val="00035121"/>
    <w:rsid w:val="000B7AA2"/>
    <w:rsid w:val="0019147E"/>
    <w:rsid w:val="001B06A7"/>
    <w:rsid w:val="00226440"/>
    <w:rsid w:val="00253E02"/>
    <w:rsid w:val="003809B4"/>
    <w:rsid w:val="003B2DA0"/>
    <w:rsid w:val="00431EF7"/>
    <w:rsid w:val="00444A77"/>
    <w:rsid w:val="004F4E42"/>
    <w:rsid w:val="005D7358"/>
    <w:rsid w:val="007F759B"/>
    <w:rsid w:val="00834A91"/>
    <w:rsid w:val="009266D9"/>
    <w:rsid w:val="00953E36"/>
    <w:rsid w:val="00966577"/>
    <w:rsid w:val="00B00B25"/>
    <w:rsid w:val="00BD63E7"/>
    <w:rsid w:val="00D71834"/>
    <w:rsid w:val="00EA47F5"/>
    <w:rsid w:val="00EE62B8"/>
    <w:rsid w:val="00F31557"/>
    <w:rsid w:val="00FC69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EA6E"/>
  <w15:chartTrackingRefBased/>
  <w15:docId w15:val="{E6CD44A7-5F43-4217-9A05-5F280AAC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B06A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266D9"/>
    <w:pPr>
      <w:tabs>
        <w:tab w:val="center" w:pos="4153"/>
        <w:tab w:val="right" w:pos="8306"/>
      </w:tabs>
    </w:pPr>
  </w:style>
  <w:style w:type="character" w:customStyle="1" w:styleId="GalveneRakstz">
    <w:name w:val="Galvene Rakstz."/>
    <w:basedOn w:val="Noklusjumarindkopasfonts"/>
    <w:link w:val="Galvene"/>
    <w:uiPriority w:val="99"/>
    <w:rsid w:val="009266D9"/>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9266D9"/>
    <w:pPr>
      <w:tabs>
        <w:tab w:val="center" w:pos="4153"/>
        <w:tab w:val="right" w:pos="8306"/>
      </w:tabs>
    </w:pPr>
  </w:style>
  <w:style w:type="character" w:customStyle="1" w:styleId="KjeneRakstz">
    <w:name w:val="Kājene Rakstz."/>
    <w:basedOn w:val="Noklusjumarindkopasfonts"/>
    <w:link w:val="Kjene"/>
    <w:uiPriority w:val="99"/>
    <w:rsid w:val="009266D9"/>
    <w:rPr>
      <w:rFonts w:ascii="Times New Roman" w:eastAsia="Times New Roman" w:hAnsi="Times New Roman" w:cs="Times New Roman"/>
      <w:sz w:val="24"/>
      <w:szCs w:val="24"/>
      <w:lang w:eastAsia="lv-LV"/>
    </w:rPr>
  </w:style>
  <w:style w:type="paragraph" w:customStyle="1" w:styleId="Default">
    <w:name w:val="Default"/>
    <w:rsid w:val="00B00B2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59"/>
    <w:rsid w:val="0003512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5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5513</Words>
  <Characters>3143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Sezu sekretare</dc:creator>
  <cp:keywords/>
  <dc:description/>
  <cp:lastModifiedBy>Dace Tauriņa</cp:lastModifiedBy>
  <cp:revision>8</cp:revision>
  <dcterms:created xsi:type="dcterms:W3CDTF">2023-02-16T08:18:00Z</dcterms:created>
  <dcterms:modified xsi:type="dcterms:W3CDTF">2023-10-31T13:16:00Z</dcterms:modified>
</cp:coreProperties>
</file>