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5B8B4" w14:textId="77777777" w:rsidR="00453C19" w:rsidRDefault="00AE6D03" w:rsidP="00D41C26">
      <w:pPr>
        <w:tabs>
          <w:tab w:val="left" w:pos="5103"/>
        </w:tabs>
        <w:spacing w:after="0"/>
        <w:jc w:val="right"/>
      </w:pPr>
      <w:r w:rsidRPr="00D41C26">
        <w:rPr>
          <w:b/>
          <w:caps/>
          <w:lang w:eastAsia="lv-LV"/>
        </w:rPr>
        <w:t>Pielikums</w:t>
      </w:r>
      <w:r>
        <w:rPr>
          <w:lang w:eastAsia="lv-LV"/>
        </w:rPr>
        <w:t xml:space="preserve"> </w:t>
      </w:r>
    </w:p>
    <w:p w14:paraId="34BBC010" w14:textId="77777777" w:rsidR="00453C19" w:rsidRDefault="00AE6D03" w:rsidP="00D41C26">
      <w:pPr>
        <w:spacing w:after="0"/>
        <w:jc w:val="right"/>
      </w:pPr>
      <w:r>
        <w:t>Limbažu novada domes</w:t>
      </w:r>
    </w:p>
    <w:p w14:paraId="21C3E43B" w14:textId="379FEE9E" w:rsidR="00453C19" w:rsidRDefault="00F80A67" w:rsidP="00D41C26">
      <w:pPr>
        <w:spacing w:after="0"/>
        <w:jc w:val="right"/>
      </w:pPr>
      <w:r>
        <w:t>28</w:t>
      </w:r>
      <w:r w:rsidR="00AE6D03">
        <w:t>.03.2024. sēdes lēmumam Nr.</w:t>
      </w:r>
      <w:r>
        <w:t>179</w:t>
      </w:r>
    </w:p>
    <w:p w14:paraId="73176AAC" w14:textId="13A147AE" w:rsidR="00453C19" w:rsidRDefault="00AE6D03" w:rsidP="00D41C26">
      <w:pPr>
        <w:spacing w:after="0"/>
        <w:jc w:val="right"/>
      </w:pPr>
      <w:r>
        <w:t>(protokols Nr.</w:t>
      </w:r>
      <w:r w:rsidR="00F80A67">
        <w:t>6</w:t>
      </w:r>
      <w:r>
        <w:t xml:space="preserve">, </w:t>
      </w:r>
      <w:r w:rsidR="00F80A67">
        <w:t>18.</w:t>
      </w:r>
      <w:bookmarkStart w:id="0" w:name="_GoBack"/>
      <w:bookmarkEnd w:id="0"/>
      <w:r>
        <w:t>)</w:t>
      </w:r>
    </w:p>
    <w:p w14:paraId="64642E03" w14:textId="77777777" w:rsidR="00453C19" w:rsidRDefault="00453C19">
      <w:pPr>
        <w:spacing w:after="0"/>
        <w:rPr>
          <w:rFonts w:eastAsia="Times New Roman"/>
          <w:lang w:eastAsia="lv-LV"/>
        </w:rPr>
      </w:pPr>
    </w:p>
    <w:p w14:paraId="724607B9" w14:textId="28135221" w:rsidR="00453C19" w:rsidRDefault="00AE6D03">
      <w:pPr>
        <w:spacing w:after="0"/>
        <w:jc w:val="center"/>
        <w:rPr>
          <w:rFonts w:eastAsia="Times New Roman"/>
          <w:b/>
          <w:lang w:eastAsia="lv-LV"/>
        </w:rPr>
      </w:pPr>
      <w:r>
        <w:rPr>
          <w:rFonts w:eastAsia="Times New Roman"/>
          <w:b/>
          <w:lang w:eastAsia="lv-LV"/>
        </w:rPr>
        <w:t>L</w:t>
      </w:r>
      <w:r w:rsidR="00E80A8F">
        <w:rPr>
          <w:rFonts w:eastAsia="Times New Roman"/>
          <w:b/>
          <w:lang w:eastAsia="lv-LV"/>
        </w:rPr>
        <w:t>IMBAŽU TEĀTRA MĀJAS</w:t>
      </w:r>
    </w:p>
    <w:p w14:paraId="03A32DDC" w14:textId="5EF6CE3B" w:rsidR="00453C19" w:rsidRDefault="00AE6D03">
      <w:pPr>
        <w:spacing w:after="0"/>
        <w:jc w:val="center"/>
        <w:rPr>
          <w:rFonts w:eastAsia="Times New Roman"/>
          <w:b/>
          <w:lang w:eastAsia="lv-LV"/>
        </w:rPr>
      </w:pPr>
      <w:r>
        <w:rPr>
          <w:rFonts w:eastAsia="Times New Roman"/>
          <w:b/>
          <w:lang w:eastAsia="lv-LV"/>
        </w:rPr>
        <w:t xml:space="preserve">MAKSAS PAKALPOJUMU </w:t>
      </w:r>
      <w:r w:rsidR="00D41C26">
        <w:rPr>
          <w:rFonts w:eastAsia="Times New Roman"/>
          <w:b/>
          <w:lang w:eastAsia="lv-LV"/>
        </w:rPr>
        <w:t>IZCENOJUMI</w:t>
      </w:r>
    </w:p>
    <w:p w14:paraId="262308E5" w14:textId="77777777" w:rsidR="00453C19" w:rsidRDefault="00453C19">
      <w:pPr>
        <w:spacing w:after="0"/>
        <w:jc w:val="both"/>
        <w:rPr>
          <w:rFonts w:eastAsia="Times New Roman"/>
          <w:lang w:eastAsia="lv-LV"/>
        </w:rPr>
      </w:pPr>
    </w:p>
    <w:tbl>
      <w:tblPr>
        <w:tblW w:w="10349" w:type="dxa"/>
        <w:tblInd w:w="-856" w:type="dxa"/>
        <w:tblCellMar>
          <w:left w:w="10" w:type="dxa"/>
          <w:right w:w="10" w:type="dxa"/>
        </w:tblCellMar>
        <w:tblLook w:val="04A0" w:firstRow="1" w:lastRow="0" w:firstColumn="1" w:lastColumn="0" w:noHBand="0" w:noVBand="1"/>
      </w:tblPr>
      <w:tblGrid>
        <w:gridCol w:w="904"/>
        <w:gridCol w:w="2641"/>
        <w:gridCol w:w="1399"/>
        <w:gridCol w:w="1117"/>
        <w:gridCol w:w="839"/>
        <w:gridCol w:w="1009"/>
        <w:gridCol w:w="2440"/>
      </w:tblGrid>
      <w:tr w:rsidR="00453C19" w14:paraId="3239F702" w14:textId="77777777" w:rsidTr="00F55416">
        <w:trPr>
          <w:trHeight w:val="632"/>
          <w:tblHeader/>
        </w:trPr>
        <w:tc>
          <w:tcPr>
            <w:tcW w:w="9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91906F8" w14:textId="77777777" w:rsidR="00453C19" w:rsidRDefault="00AE6D03">
            <w:pPr>
              <w:spacing w:after="0"/>
              <w:jc w:val="center"/>
              <w:rPr>
                <w:b/>
                <w:bCs/>
              </w:rPr>
            </w:pPr>
            <w:r>
              <w:rPr>
                <w:b/>
                <w:bCs/>
              </w:rPr>
              <w:t>Nr.</w:t>
            </w:r>
          </w:p>
          <w:p w14:paraId="402D2066" w14:textId="77777777" w:rsidR="00453C19" w:rsidRDefault="00AE6D03">
            <w:pPr>
              <w:spacing w:after="0"/>
              <w:jc w:val="center"/>
              <w:rPr>
                <w:b/>
                <w:bCs/>
              </w:rPr>
            </w:pPr>
            <w:r>
              <w:rPr>
                <w:b/>
                <w:bCs/>
              </w:rPr>
              <w:t>p.k.</w:t>
            </w:r>
          </w:p>
        </w:tc>
        <w:tc>
          <w:tcPr>
            <w:tcW w:w="264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E40CDC3" w14:textId="77777777" w:rsidR="00453C19" w:rsidRDefault="00AE6D03">
            <w:pPr>
              <w:spacing w:after="0"/>
              <w:jc w:val="center"/>
              <w:rPr>
                <w:b/>
                <w:bCs/>
              </w:rPr>
            </w:pPr>
            <w:r>
              <w:rPr>
                <w:b/>
                <w:bCs/>
              </w:rPr>
              <w:t>Pakalpojuma veids</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7226A1D" w14:textId="77777777" w:rsidR="00453C19" w:rsidRDefault="00AE6D03">
            <w:pPr>
              <w:spacing w:after="0"/>
              <w:jc w:val="center"/>
              <w:rPr>
                <w:b/>
                <w:bCs/>
              </w:rPr>
            </w:pPr>
            <w:r>
              <w:rPr>
                <w:b/>
                <w:bCs/>
              </w:rPr>
              <w:t>Mērvienība</w:t>
            </w:r>
          </w:p>
        </w:tc>
        <w:tc>
          <w:tcPr>
            <w:tcW w:w="11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E4D9DD2" w14:textId="77777777" w:rsidR="00453C19" w:rsidRDefault="00AE6D03">
            <w:pPr>
              <w:spacing w:after="0"/>
              <w:jc w:val="center"/>
            </w:pPr>
            <w:r>
              <w:rPr>
                <w:b/>
                <w:bCs/>
              </w:rPr>
              <w:t>Cena bez PVN (</w:t>
            </w:r>
            <w:r>
              <w:rPr>
                <w:b/>
                <w:bCs/>
                <w:i/>
                <w:iCs/>
              </w:rPr>
              <w:t>euro</w:t>
            </w:r>
            <w:r>
              <w:rPr>
                <w:b/>
                <w:bCs/>
              </w:rPr>
              <w:t>)</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2AC5F79" w14:textId="77777777" w:rsidR="00453C19" w:rsidRDefault="00AE6D03">
            <w:pPr>
              <w:spacing w:after="0"/>
              <w:ind w:right="-13"/>
              <w:jc w:val="center"/>
            </w:pPr>
            <w:r>
              <w:rPr>
                <w:b/>
                <w:bCs/>
              </w:rPr>
              <w:t>PVN (</w:t>
            </w:r>
            <w:r>
              <w:rPr>
                <w:b/>
                <w:bCs/>
                <w:i/>
                <w:iCs/>
              </w:rPr>
              <w:t>euro</w:t>
            </w:r>
            <w:r>
              <w:rPr>
                <w:b/>
                <w:bCs/>
              </w:rPr>
              <w:t>)</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9D78B28" w14:textId="77777777" w:rsidR="00453C19" w:rsidRDefault="00AE6D03">
            <w:pPr>
              <w:spacing w:after="0"/>
              <w:jc w:val="center"/>
            </w:pPr>
            <w:r>
              <w:rPr>
                <w:b/>
                <w:bCs/>
              </w:rPr>
              <w:t>Cena ar PVN (</w:t>
            </w:r>
            <w:r>
              <w:rPr>
                <w:b/>
                <w:bCs/>
                <w:i/>
                <w:iCs/>
              </w:rPr>
              <w:t>euro</w:t>
            </w:r>
            <w:r>
              <w:rPr>
                <w:b/>
                <w:bCs/>
              </w:rPr>
              <w:t>)</w:t>
            </w:r>
          </w:p>
        </w:tc>
        <w:tc>
          <w:tcPr>
            <w:tcW w:w="2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0D027472" w14:textId="3587FF19" w:rsidR="00453C19" w:rsidRDefault="00AE6D03">
            <w:pPr>
              <w:spacing w:after="0"/>
              <w:jc w:val="center"/>
              <w:rPr>
                <w:b/>
                <w:bCs/>
              </w:rPr>
            </w:pPr>
            <w:r>
              <w:rPr>
                <w:b/>
                <w:bCs/>
              </w:rPr>
              <w:t>Piezīmes</w:t>
            </w:r>
          </w:p>
        </w:tc>
      </w:tr>
      <w:tr w:rsidR="00453C19" w14:paraId="349A4E86" w14:textId="77777777" w:rsidTr="00F55416">
        <w:trPr>
          <w:trHeight w:val="247"/>
        </w:trPr>
        <w:tc>
          <w:tcPr>
            <w:tcW w:w="9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4C5C70A" w14:textId="77777777" w:rsidR="00453C19" w:rsidRDefault="00453C19">
            <w:pPr>
              <w:pStyle w:val="Sarakstarindkopa"/>
              <w:numPr>
                <w:ilvl w:val="0"/>
                <w:numId w:val="2"/>
              </w:numPr>
              <w:suppressAutoHyphens w:val="0"/>
              <w:ind w:left="467" w:hanging="283"/>
              <w:jc w:val="center"/>
              <w:textAlignment w:val="auto"/>
            </w:pPr>
          </w:p>
        </w:tc>
        <w:tc>
          <w:tcPr>
            <w:tcW w:w="264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271B721" w14:textId="76D895D0" w:rsidR="00453C19" w:rsidRDefault="00E80A8F">
            <w:pPr>
              <w:spacing w:after="0"/>
            </w:pPr>
            <w:r>
              <w:t>Zāles noma (45m2)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F8B476D" w14:textId="77777777" w:rsidR="00453C19" w:rsidRDefault="00AE6D03">
            <w:pPr>
              <w:spacing w:after="0"/>
              <w:jc w:val="center"/>
            </w:pPr>
            <w:r>
              <w:t>1 stunda</w:t>
            </w:r>
          </w:p>
        </w:tc>
        <w:tc>
          <w:tcPr>
            <w:tcW w:w="11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D4003A7" w14:textId="7EC391D1" w:rsidR="00453C19" w:rsidRDefault="0076567A">
            <w:pPr>
              <w:spacing w:after="0"/>
              <w:jc w:val="center"/>
            </w:pPr>
            <w:r>
              <w:t>20,66</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BD8FC73" w14:textId="7079D10F" w:rsidR="00453C19" w:rsidRDefault="0076567A">
            <w:pPr>
              <w:spacing w:after="0"/>
              <w:jc w:val="center"/>
            </w:pPr>
            <w:r>
              <w:t>4,34</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E59BF5D" w14:textId="37A4194B" w:rsidR="00453C19" w:rsidRDefault="0076567A">
            <w:pPr>
              <w:spacing w:after="0"/>
              <w:jc w:val="center"/>
            </w:pPr>
            <w:r>
              <w:t>25,00</w:t>
            </w:r>
          </w:p>
        </w:tc>
        <w:tc>
          <w:tcPr>
            <w:tcW w:w="2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40F28BA" w14:textId="1F988814" w:rsidR="00453C19" w:rsidRDefault="00E80A8F">
            <w:pPr>
              <w:spacing w:after="0"/>
              <w:jc w:val="center"/>
            </w:pPr>
            <w:r>
              <w:t>Vai 20% no ieņēmumiem par pārdotajām biļetēm</w:t>
            </w:r>
          </w:p>
        </w:tc>
      </w:tr>
      <w:tr w:rsidR="00453C19" w14:paraId="4CDEF64D" w14:textId="77777777" w:rsidTr="00F55416">
        <w:trPr>
          <w:trHeight w:val="258"/>
        </w:trPr>
        <w:tc>
          <w:tcPr>
            <w:tcW w:w="9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EC33430" w14:textId="77777777" w:rsidR="00453C19" w:rsidRDefault="00AE6D03">
            <w:pPr>
              <w:spacing w:after="0"/>
              <w:ind w:left="183"/>
              <w:jc w:val="center"/>
            </w:pPr>
            <w:r>
              <w:t>2.</w:t>
            </w:r>
          </w:p>
        </w:tc>
        <w:tc>
          <w:tcPr>
            <w:tcW w:w="264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1B5D02E" w14:textId="1335F346" w:rsidR="00453C19" w:rsidRDefault="00E80A8F">
            <w:pPr>
              <w:spacing w:after="0"/>
            </w:pPr>
            <w:r>
              <w:t>Teātra mājas noma</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7005E22" w14:textId="77777777" w:rsidR="00453C19" w:rsidRDefault="00AE6D03">
            <w:pPr>
              <w:spacing w:after="0"/>
              <w:jc w:val="center"/>
            </w:pPr>
            <w:r>
              <w:t>1 stunda</w:t>
            </w:r>
          </w:p>
        </w:tc>
        <w:tc>
          <w:tcPr>
            <w:tcW w:w="11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4282DFE" w14:textId="02CD2300" w:rsidR="00453C19" w:rsidRDefault="0076567A">
            <w:pPr>
              <w:spacing w:after="0"/>
              <w:jc w:val="center"/>
            </w:pPr>
            <w:r>
              <w:t>41,32</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4795BFC" w14:textId="56FABC2A" w:rsidR="00453C19" w:rsidRDefault="0076567A">
            <w:pPr>
              <w:spacing w:after="0"/>
              <w:jc w:val="center"/>
            </w:pPr>
            <w:r>
              <w:t>8,68</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ECAD645" w14:textId="0DF49A35" w:rsidR="00453C19" w:rsidRDefault="0076567A">
            <w:pPr>
              <w:spacing w:after="0"/>
              <w:jc w:val="center"/>
            </w:pPr>
            <w:r>
              <w:t>50,00</w:t>
            </w:r>
          </w:p>
        </w:tc>
        <w:tc>
          <w:tcPr>
            <w:tcW w:w="2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68AFB7E" w14:textId="18E14339" w:rsidR="00453C19" w:rsidRDefault="00453C19">
            <w:pPr>
              <w:spacing w:after="0"/>
              <w:jc w:val="center"/>
            </w:pPr>
          </w:p>
        </w:tc>
      </w:tr>
      <w:tr w:rsidR="00453C19" w14:paraId="01B7E871" w14:textId="77777777" w:rsidTr="00F55416">
        <w:trPr>
          <w:trHeight w:val="247"/>
        </w:trPr>
        <w:tc>
          <w:tcPr>
            <w:tcW w:w="9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09BC69C" w14:textId="77777777" w:rsidR="00453C19" w:rsidRDefault="00AE6D03">
            <w:pPr>
              <w:spacing w:after="0"/>
              <w:ind w:left="183"/>
              <w:jc w:val="center"/>
            </w:pPr>
            <w:r>
              <w:t>3.</w:t>
            </w:r>
          </w:p>
        </w:tc>
        <w:tc>
          <w:tcPr>
            <w:tcW w:w="264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31F11F6" w14:textId="711DA21E" w:rsidR="00453C19" w:rsidRDefault="00E80A8F">
            <w:pPr>
              <w:spacing w:after="0"/>
            </w:pPr>
            <w:r>
              <w:t>Pasākuma skaņošana un gaismošana</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2A00C231" w14:textId="77777777" w:rsidR="00453C19" w:rsidRDefault="00AE6D03">
            <w:pPr>
              <w:spacing w:after="0"/>
              <w:jc w:val="center"/>
            </w:pPr>
            <w:r>
              <w:t>1 stunda</w:t>
            </w:r>
          </w:p>
        </w:tc>
        <w:tc>
          <w:tcPr>
            <w:tcW w:w="11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A2691A3" w14:textId="583BC752" w:rsidR="00453C19" w:rsidRDefault="0076567A">
            <w:pPr>
              <w:spacing w:after="0"/>
              <w:jc w:val="center"/>
            </w:pPr>
            <w:r>
              <w:t>18,18</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34AE1121" w14:textId="55A3D4E4" w:rsidR="00453C19" w:rsidRDefault="0076567A">
            <w:pPr>
              <w:spacing w:after="0"/>
              <w:jc w:val="center"/>
            </w:pPr>
            <w:r>
              <w:t>3,82</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4D3DCA8" w14:textId="019C1CFA" w:rsidR="00453C19" w:rsidRDefault="0076567A">
            <w:pPr>
              <w:spacing w:after="0"/>
              <w:jc w:val="center"/>
            </w:pPr>
            <w:r>
              <w:t>22,00</w:t>
            </w:r>
          </w:p>
        </w:tc>
        <w:tc>
          <w:tcPr>
            <w:tcW w:w="2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EC4DF51" w14:textId="77777777" w:rsidR="00453C19" w:rsidRDefault="00453C19">
            <w:pPr>
              <w:spacing w:after="0"/>
              <w:jc w:val="center"/>
            </w:pPr>
          </w:p>
        </w:tc>
      </w:tr>
      <w:tr w:rsidR="00453C19" w14:paraId="2296E2B2" w14:textId="77777777" w:rsidTr="00F55416">
        <w:trPr>
          <w:trHeight w:val="247"/>
        </w:trPr>
        <w:tc>
          <w:tcPr>
            <w:tcW w:w="90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75CEB81" w14:textId="77777777" w:rsidR="00453C19" w:rsidRDefault="00AE6D03">
            <w:pPr>
              <w:spacing w:after="0"/>
              <w:ind w:left="183"/>
              <w:jc w:val="center"/>
            </w:pPr>
            <w:r>
              <w:t>4.</w:t>
            </w:r>
          </w:p>
        </w:tc>
        <w:tc>
          <w:tcPr>
            <w:tcW w:w="264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2C36D0A" w14:textId="4D4D7CE2" w:rsidR="00453C19" w:rsidRDefault="00E80A8F">
            <w:pPr>
              <w:spacing w:after="0"/>
            </w:pPr>
            <w:r>
              <w:t>Ausekļa Limbažu teātra izrāde</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6E3AD371" w14:textId="4D42D800" w:rsidR="00453C19" w:rsidRDefault="00AE6D03">
            <w:pPr>
              <w:spacing w:after="0"/>
              <w:jc w:val="center"/>
            </w:pPr>
            <w:r>
              <w:t xml:space="preserve">1 </w:t>
            </w:r>
            <w:r w:rsidR="00E80A8F">
              <w:t>gab.</w:t>
            </w:r>
          </w:p>
        </w:tc>
        <w:tc>
          <w:tcPr>
            <w:tcW w:w="11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1CE7732" w14:textId="5A1F1332" w:rsidR="00453C19" w:rsidRDefault="00B2240B">
            <w:pPr>
              <w:spacing w:after="0"/>
              <w:jc w:val="center"/>
            </w:pPr>
            <w:r>
              <w:t>300,00</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48BF9301" w14:textId="65927FFB" w:rsidR="00453C19" w:rsidRDefault="00B2240B">
            <w:pPr>
              <w:spacing w:after="0"/>
              <w:jc w:val="center"/>
            </w:pPr>
            <w:r>
              <w:t>-</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8775F08" w14:textId="0C48E4A2" w:rsidR="00453C19" w:rsidRDefault="00E80A8F">
            <w:pPr>
              <w:spacing w:after="0"/>
              <w:jc w:val="center"/>
            </w:pPr>
            <w:r>
              <w:t>3</w:t>
            </w:r>
            <w:r w:rsidR="00AE6D03">
              <w:t>00</w:t>
            </w:r>
            <w:r>
              <w:t>,00</w:t>
            </w:r>
          </w:p>
        </w:tc>
        <w:tc>
          <w:tcPr>
            <w:tcW w:w="2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1685B5A9" w14:textId="7336E5CE" w:rsidR="00453C19" w:rsidRDefault="00AE6D03">
            <w:pPr>
              <w:spacing w:after="0"/>
              <w:jc w:val="center"/>
            </w:pPr>
            <w:r>
              <w:t>1 biļetes cena 5,00 eur, kopējais sēdvietu skaits 60</w:t>
            </w:r>
          </w:p>
        </w:tc>
      </w:tr>
    </w:tbl>
    <w:p w14:paraId="5ED946EE" w14:textId="4CD80BA6" w:rsidR="00F55416" w:rsidRDefault="00F55416" w:rsidP="00F55416"/>
    <w:p w14:paraId="6D541EC5" w14:textId="5083015C" w:rsidR="00F55416" w:rsidRPr="00F55416" w:rsidRDefault="00F55416" w:rsidP="00F55416">
      <w:r>
        <w:t>*</w:t>
      </w:r>
      <w:r w:rsidRPr="00F55416">
        <w:t>No noteiktas telpu nomas maksas tiek atbrīvotas Limbažu novada reģistrētas biedrības un Limbažu novada pašvaldības iestādes, kuras izmanto Limbažu Teātra māju, lai sagatavotu un sniegtu priekšnesumus bez atlīdzības un veidotu izstādes pašvaldības kultūras iestāžu rīkotajos pasākumos.</w:t>
      </w:r>
    </w:p>
    <w:p w14:paraId="11839963" w14:textId="4F2D6716" w:rsidR="00453C19" w:rsidRDefault="00453C19"/>
    <w:p w14:paraId="00A032D3" w14:textId="77777777" w:rsidR="00453C19" w:rsidRDefault="00453C19"/>
    <w:sectPr w:rsidR="00453C19" w:rsidSect="00F74414">
      <w:pgSz w:w="11906" w:h="16838"/>
      <w:pgMar w:top="1134" w:right="567"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400FC" w14:textId="77777777" w:rsidR="00F74414" w:rsidRDefault="00F74414">
      <w:pPr>
        <w:spacing w:after="0"/>
      </w:pPr>
      <w:r>
        <w:separator/>
      </w:r>
    </w:p>
  </w:endnote>
  <w:endnote w:type="continuationSeparator" w:id="0">
    <w:p w14:paraId="0A259CFC" w14:textId="77777777" w:rsidR="00F74414" w:rsidRDefault="00F74414">
      <w:pPr>
        <w:spacing w:after="0"/>
      </w:pPr>
      <w:r>
        <w:continuationSeparator/>
      </w:r>
    </w:p>
  </w:endnote>
  <w:endnote w:type="continuationNotice" w:id="1">
    <w:p w14:paraId="4C6C2A2B" w14:textId="77777777" w:rsidR="00072739" w:rsidRDefault="0007273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EE499" w14:textId="77777777" w:rsidR="00F74414" w:rsidRDefault="00F74414">
      <w:pPr>
        <w:spacing w:after="0"/>
      </w:pPr>
      <w:r>
        <w:rPr>
          <w:color w:val="000000"/>
        </w:rPr>
        <w:separator/>
      </w:r>
    </w:p>
  </w:footnote>
  <w:footnote w:type="continuationSeparator" w:id="0">
    <w:p w14:paraId="266B3B1A" w14:textId="77777777" w:rsidR="00F74414" w:rsidRDefault="00F74414">
      <w:pPr>
        <w:spacing w:after="0"/>
      </w:pPr>
      <w:r>
        <w:continuationSeparator/>
      </w:r>
    </w:p>
  </w:footnote>
  <w:footnote w:type="continuationNotice" w:id="1">
    <w:p w14:paraId="774A06B9" w14:textId="77777777" w:rsidR="00072739" w:rsidRDefault="00072739">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BF739F"/>
    <w:multiLevelType w:val="multilevel"/>
    <w:tmpl w:val="EE6A11E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C40BB1"/>
    <w:multiLevelType w:val="multilevel"/>
    <w:tmpl w:val="7480F3B8"/>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F794A50"/>
    <w:multiLevelType w:val="hybridMultilevel"/>
    <w:tmpl w:val="1B166CC8"/>
    <w:lvl w:ilvl="0" w:tplc="DA6E4896">
      <w:start w:val="1"/>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C19"/>
    <w:rsid w:val="00072739"/>
    <w:rsid w:val="000F224B"/>
    <w:rsid w:val="001F2062"/>
    <w:rsid w:val="00453C19"/>
    <w:rsid w:val="0076567A"/>
    <w:rsid w:val="00AE6D03"/>
    <w:rsid w:val="00B2240B"/>
    <w:rsid w:val="00D41C26"/>
    <w:rsid w:val="00D91983"/>
    <w:rsid w:val="00E80A8F"/>
    <w:rsid w:val="00F55416"/>
    <w:rsid w:val="00F74414"/>
    <w:rsid w:val="00F80A67"/>
    <w:rsid w:val="00FF10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8DDF"/>
  <w15:docId w15:val="{E8B0E6B5-F4C5-475B-BA5A-BFF67F341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rPr>
      <w:rFonts w:ascii="Times New Roman" w:hAnsi="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pPr>
      <w:spacing w:after="0"/>
      <w:ind w:left="720"/>
    </w:pPr>
    <w:rPr>
      <w:rFonts w:eastAsia="Times New Roman"/>
    </w:rPr>
  </w:style>
  <w:style w:type="character" w:customStyle="1" w:styleId="CommentReference">
    <w:name w:val="Comment Reference"/>
    <w:basedOn w:val="Noklusjumarindkopasfonts"/>
    <w:rPr>
      <w:sz w:val="16"/>
      <w:szCs w:val="16"/>
    </w:rPr>
  </w:style>
  <w:style w:type="paragraph" w:customStyle="1" w:styleId="CommentText">
    <w:name w:val="Comment Text"/>
    <w:basedOn w:val="Parasts"/>
    <w:pPr>
      <w:suppressAutoHyphens w:val="0"/>
    </w:pPr>
    <w:rPr>
      <w:sz w:val="20"/>
      <w:szCs w:val="20"/>
    </w:rPr>
  </w:style>
  <w:style w:type="character" w:customStyle="1" w:styleId="CommentTextChar">
    <w:name w:val="Comment Text Char"/>
    <w:basedOn w:val="Noklusjumarindkopasfonts"/>
    <w:rPr>
      <w:sz w:val="20"/>
      <w:szCs w:val="20"/>
    </w:rPr>
  </w:style>
  <w:style w:type="paragraph" w:customStyle="1" w:styleId="CommentSubject">
    <w:name w:val="Comment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Komentrateksts">
    <w:name w:val="annotation text"/>
    <w:basedOn w:val="Parasts"/>
    <w:rPr>
      <w:sz w:val="20"/>
      <w:szCs w:val="20"/>
    </w:rPr>
  </w:style>
  <w:style w:type="character" w:customStyle="1" w:styleId="KomentratekstsRakstz">
    <w:name w:val="Komentāra teksts Rakstz."/>
    <w:basedOn w:val="Noklusjumarindkopasfonts"/>
    <w:rPr>
      <w:rFonts w:ascii="Times New Roman" w:hAnsi="Times New Roman"/>
      <w:sz w:val="20"/>
      <w:szCs w:val="20"/>
    </w:rPr>
  </w:style>
  <w:style w:type="character" w:styleId="Komentraatsauce">
    <w:name w:val="annotation reference"/>
    <w:basedOn w:val="Noklusjumarindkopasfonts"/>
    <w:rPr>
      <w:sz w:val="16"/>
      <w:szCs w:val="16"/>
    </w:rPr>
  </w:style>
  <w:style w:type="character" w:styleId="Izteiksmgs">
    <w:name w:val="Strong"/>
    <w:basedOn w:val="Noklusjumarindkopasfonts"/>
    <w:rPr>
      <w:b/>
      <w:bCs/>
    </w:rPr>
  </w:style>
  <w:style w:type="paragraph" w:styleId="Galvene">
    <w:name w:val="header"/>
    <w:basedOn w:val="Parasts"/>
    <w:link w:val="GalveneRakstz"/>
    <w:uiPriority w:val="99"/>
    <w:semiHidden/>
    <w:unhideWhenUsed/>
    <w:rsid w:val="00072739"/>
    <w:pPr>
      <w:tabs>
        <w:tab w:val="center" w:pos="4153"/>
        <w:tab w:val="right" w:pos="8306"/>
      </w:tabs>
      <w:spacing w:after="0"/>
    </w:pPr>
  </w:style>
  <w:style w:type="character" w:customStyle="1" w:styleId="GalveneRakstz">
    <w:name w:val="Galvene Rakstz."/>
    <w:basedOn w:val="Noklusjumarindkopasfonts"/>
    <w:link w:val="Galvene"/>
    <w:uiPriority w:val="99"/>
    <w:semiHidden/>
    <w:rsid w:val="00072739"/>
    <w:rPr>
      <w:rFonts w:ascii="Times New Roman" w:hAnsi="Times New Roman"/>
      <w:sz w:val="24"/>
      <w:szCs w:val="24"/>
    </w:rPr>
  </w:style>
  <w:style w:type="paragraph" w:styleId="Kjene">
    <w:name w:val="footer"/>
    <w:basedOn w:val="Parasts"/>
    <w:link w:val="KjeneRakstz"/>
    <w:uiPriority w:val="99"/>
    <w:semiHidden/>
    <w:unhideWhenUsed/>
    <w:rsid w:val="00072739"/>
    <w:pPr>
      <w:tabs>
        <w:tab w:val="center" w:pos="4153"/>
        <w:tab w:val="right" w:pos="8306"/>
      </w:tabs>
      <w:spacing w:after="0"/>
    </w:pPr>
  </w:style>
  <w:style w:type="character" w:customStyle="1" w:styleId="KjeneRakstz">
    <w:name w:val="Kājene Rakstz."/>
    <w:basedOn w:val="Noklusjumarindkopasfonts"/>
    <w:link w:val="Kjene"/>
    <w:uiPriority w:val="99"/>
    <w:semiHidden/>
    <w:rsid w:val="0007273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535</Words>
  <Characters>306</Characters>
  <Application>Microsoft Office Word</Application>
  <DocSecurity>0</DocSecurity>
  <Lines>2</Lines>
  <Paragraphs>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8</cp:revision>
  <dcterms:created xsi:type="dcterms:W3CDTF">2024-03-11T09:12:00Z</dcterms:created>
  <dcterms:modified xsi:type="dcterms:W3CDTF">2024-04-03T07:32:00Z</dcterms:modified>
</cp:coreProperties>
</file>