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6644D" w14:textId="77777777" w:rsidR="001F6324" w:rsidRPr="00F62FFF" w:rsidRDefault="001F6324" w:rsidP="001F6324">
      <w:pPr>
        <w:spacing w:after="0" w:line="240" w:lineRule="auto"/>
        <w:ind w:left="5760" w:firstLine="720"/>
        <w:jc w:val="right"/>
        <w:rPr>
          <w:rFonts w:ascii="Times New Roman" w:eastAsia="Times New Roman" w:hAnsi="Times New Roman" w:cs="Times New Roman"/>
          <w:sz w:val="24"/>
          <w:szCs w:val="24"/>
          <w:lang w:eastAsia="lv-LV"/>
        </w:rPr>
      </w:pPr>
      <w:r w:rsidRPr="00F62FFF">
        <w:rPr>
          <w:rFonts w:ascii="Times New Roman" w:eastAsia="Times New Roman" w:hAnsi="Times New Roman" w:cs="Times New Roman"/>
          <w:sz w:val="24"/>
          <w:szCs w:val="24"/>
          <w:lang w:eastAsia="lv-LV"/>
        </w:rPr>
        <w:t>3. pielikums</w:t>
      </w:r>
    </w:p>
    <w:p w14:paraId="1732CAEC" w14:textId="6C90DFDD" w:rsidR="001F6324" w:rsidRPr="00F62FFF" w:rsidRDefault="00075278" w:rsidP="001F6324">
      <w:pPr>
        <w:spacing w:after="0" w:line="240" w:lineRule="auto"/>
        <w:ind w:left="-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27.02.2025. </w:t>
      </w:r>
      <w:r w:rsidR="001F6324" w:rsidRPr="00F62FFF">
        <w:rPr>
          <w:rFonts w:ascii="Times New Roman" w:eastAsia="Times New Roman" w:hAnsi="Times New Roman" w:cs="Times New Roman"/>
          <w:sz w:val="24"/>
          <w:szCs w:val="24"/>
        </w:rPr>
        <w:t>Limbažu novada pašvaldības bērnu</w:t>
      </w:r>
    </w:p>
    <w:p w14:paraId="129F7742" w14:textId="77777777" w:rsidR="001F6324" w:rsidRPr="00F62FFF" w:rsidRDefault="001F6324" w:rsidP="001F6324">
      <w:pPr>
        <w:spacing w:after="0" w:line="240" w:lineRule="auto"/>
        <w:ind w:left="-142"/>
        <w:jc w:val="right"/>
        <w:rPr>
          <w:rFonts w:ascii="Times New Roman" w:eastAsia="Times New Roman" w:hAnsi="Times New Roman" w:cs="Times New Roman"/>
          <w:sz w:val="24"/>
          <w:szCs w:val="24"/>
        </w:rPr>
      </w:pPr>
      <w:r w:rsidRPr="00F62FFF">
        <w:rPr>
          <w:rFonts w:ascii="Times New Roman" w:eastAsia="Times New Roman" w:hAnsi="Times New Roman" w:cs="Times New Roman"/>
          <w:sz w:val="24"/>
          <w:szCs w:val="24"/>
        </w:rPr>
        <w:t xml:space="preserve"> un jauniešu nometņu līdzfinansēšanas</w:t>
      </w:r>
    </w:p>
    <w:p w14:paraId="0AAEE94F" w14:textId="77777777" w:rsidR="001F6324" w:rsidRPr="00F62FFF" w:rsidRDefault="001F6324" w:rsidP="001F6324">
      <w:pPr>
        <w:spacing w:after="0" w:line="240" w:lineRule="auto"/>
        <w:ind w:left="-142"/>
        <w:jc w:val="right"/>
        <w:rPr>
          <w:rFonts w:ascii="Times New Roman" w:eastAsia="Times New Roman" w:hAnsi="Times New Roman" w:cs="Times New Roman"/>
          <w:sz w:val="24"/>
          <w:szCs w:val="24"/>
          <w:lang w:eastAsia="lv-LV"/>
        </w:rPr>
      </w:pPr>
      <w:r w:rsidRPr="00F62FFF">
        <w:rPr>
          <w:rFonts w:ascii="Times New Roman" w:eastAsia="Times New Roman" w:hAnsi="Times New Roman" w:cs="Times New Roman"/>
          <w:sz w:val="24"/>
          <w:szCs w:val="24"/>
        </w:rPr>
        <w:t>projektu konkursa nolikumam</w:t>
      </w:r>
    </w:p>
    <w:p w14:paraId="7339365E" w14:textId="77777777" w:rsidR="001F6324" w:rsidRDefault="001F6324" w:rsidP="001F6324">
      <w:pPr>
        <w:spacing w:after="0" w:line="240" w:lineRule="auto"/>
        <w:jc w:val="center"/>
        <w:rPr>
          <w:rFonts w:ascii="Times New Roman" w:eastAsia="Times New Roman" w:hAnsi="Times New Roman" w:cs="Times New Roman"/>
          <w:b/>
          <w:sz w:val="24"/>
          <w:szCs w:val="24"/>
          <w:lang w:eastAsia="lv-LV"/>
        </w:rPr>
      </w:pPr>
    </w:p>
    <w:p w14:paraId="74E7969A" w14:textId="77777777" w:rsidR="001F6324" w:rsidRPr="00D340BA" w:rsidRDefault="001F6324" w:rsidP="001F6324">
      <w:pPr>
        <w:spacing w:after="0" w:line="240" w:lineRule="auto"/>
        <w:jc w:val="center"/>
        <w:rPr>
          <w:rFonts w:ascii="Times New Roman" w:eastAsia="Times New Roman" w:hAnsi="Times New Roman" w:cs="Times New Roman"/>
          <w:b/>
          <w:bCs/>
          <w:sz w:val="24"/>
          <w:szCs w:val="24"/>
          <w:lang w:eastAsia="lv-LV"/>
        </w:rPr>
      </w:pPr>
      <w:r w:rsidRPr="00D340BA">
        <w:rPr>
          <w:rFonts w:ascii="Times New Roman" w:eastAsia="Times New Roman" w:hAnsi="Times New Roman" w:cs="Times New Roman"/>
          <w:b/>
          <w:sz w:val="24"/>
          <w:szCs w:val="24"/>
          <w:lang w:eastAsia="lv-LV"/>
        </w:rPr>
        <w:t xml:space="preserve">PROJEKTU PIETEIKUMU </w:t>
      </w:r>
      <w:r w:rsidRPr="00D340BA">
        <w:rPr>
          <w:rFonts w:ascii="Times New Roman" w:eastAsia="Times New Roman" w:hAnsi="Times New Roman" w:cs="Times New Roman"/>
          <w:b/>
          <w:bCs/>
          <w:sz w:val="24"/>
          <w:szCs w:val="24"/>
          <w:lang w:eastAsia="lv-LV"/>
        </w:rPr>
        <w:t>IZVĒRTĒŠANAS KRITĒRIJI</w:t>
      </w:r>
    </w:p>
    <w:p w14:paraId="738985DB" w14:textId="77777777" w:rsidR="001F6324" w:rsidRPr="00D340BA" w:rsidRDefault="001F6324" w:rsidP="001F6324">
      <w:pPr>
        <w:spacing w:after="0" w:line="240" w:lineRule="auto"/>
        <w:jc w:val="center"/>
        <w:rPr>
          <w:rFonts w:ascii="Times New Roman" w:eastAsia="Times New Roman" w:hAnsi="Times New Roman" w:cs="Times New Roman"/>
          <w:b/>
          <w:bCs/>
          <w:sz w:val="24"/>
          <w:szCs w:val="24"/>
          <w:lang w:eastAsia="lv-LV"/>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336"/>
        <w:gridCol w:w="4372"/>
        <w:gridCol w:w="963"/>
      </w:tblGrid>
      <w:tr w:rsidR="001F6324" w:rsidRPr="00D340BA" w14:paraId="6D90DEFD" w14:textId="77777777" w:rsidTr="001D1D29">
        <w:tc>
          <w:tcPr>
            <w:tcW w:w="1084" w:type="dxa"/>
          </w:tcPr>
          <w:p w14:paraId="7DE122C2"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roofErr w:type="spellStart"/>
            <w:r w:rsidRPr="00D340BA">
              <w:rPr>
                <w:rFonts w:ascii="Times New Roman" w:eastAsia="Times New Roman" w:hAnsi="Times New Roman" w:cs="Times New Roman"/>
                <w:sz w:val="24"/>
                <w:szCs w:val="24"/>
                <w:lang w:eastAsia="lv-LV"/>
              </w:rPr>
              <w:t>N.p.k</w:t>
            </w:r>
            <w:proofErr w:type="spellEnd"/>
            <w:r w:rsidRPr="00D340BA">
              <w:rPr>
                <w:rFonts w:ascii="Times New Roman" w:eastAsia="Times New Roman" w:hAnsi="Times New Roman" w:cs="Times New Roman"/>
                <w:sz w:val="24"/>
                <w:szCs w:val="24"/>
                <w:lang w:eastAsia="lv-LV"/>
              </w:rPr>
              <w:t>.</w:t>
            </w:r>
          </w:p>
        </w:tc>
        <w:tc>
          <w:tcPr>
            <w:tcW w:w="2336" w:type="dxa"/>
          </w:tcPr>
          <w:p w14:paraId="40FF6496"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Kritērija nosaukums</w:t>
            </w:r>
          </w:p>
        </w:tc>
        <w:tc>
          <w:tcPr>
            <w:tcW w:w="4372" w:type="dxa"/>
          </w:tcPr>
          <w:p w14:paraId="20C2AEED"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963" w:type="dxa"/>
          </w:tcPr>
          <w:p w14:paraId="67BD8B2B"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Punkti</w:t>
            </w:r>
          </w:p>
        </w:tc>
      </w:tr>
      <w:tr w:rsidR="001F6324" w:rsidRPr="00D340BA" w14:paraId="30BDA89D" w14:textId="77777777" w:rsidTr="001D1D29">
        <w:tc>
          <w:tcPr>
            <w:tcW w:w="1084" w:type="dxa"/>
            <w:vMerge w:val="restart"/>
          </w:tcPr>
          <w:p w14:paraId="69C77F1A"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bookmarkStart w:id="0" w:name="_Hlk190596272"/>
          </w:p>
        </w:tc>
        <w:tc>
          <w:tcPr>
            <w:tcW w:w="2336" w:type="dxa"/>
            <w:vMerge w:val="restart"/>
          </w:tcPr>
          <w:p w14:paraId="2563F791"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 xml:space="preserve">pieteikuma </w:t>
            </w:r>
            <w:r w:rsidRPr="00D340BA">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tbilstība </w:t>
            </w:r>
            <w:r w:rsidRPr="00F32397">
              <w:rPr>
                <w:rFonts w:ascii="Times New Roman" w:eastAsia="Times New Roman" w:hAnsi="Times New Roman" w:cs="Times New Roman"/>
                <w:color w:val="000000" w:themeColor="text1"/>
                <w:sz w:val="24"/>
                <w:szCs w:val="24"/>
                <w:lang w:eastAsia="lv-LV"/>
              </w:rPr>
              <w:t>K</w:t>
            </w:r>
            <w:r w:rsidRPr="00D340BA">
              <w:rPr>
                <w:rFonts w:ascii="Times New Roman" w:eastAsia="Times New Roman" w:hAnsi="Times New Roman" w:cs="Times New Roman"/>
                <w:sz w:val="24"/>
                <w:szCs w:val="24"/>
                <w:lang w:eastAsia="lv-LV"/>
              </w:rPr>
              <w:t>onkursa mērķim</w:t>
            </w:r>
            <w:r>
              <w:rPr>
                <w:rFonts w:ascii="Times New Roman" w:eastAsia="Times New Roman" w:hAnsi="Times New Roman" w:cs="Times New Roman"/>
                <w:sz w:val="24"/>
                <w:szCs w:val="24"/>
                <w:lang w:eastAsia="lv-LV"/>
              </w:rPr>
              <w:t>, uzdevumiem un mērķa grupai</w:t>
            </w:r>
          </w:p>
        </w:tc>
        <w:tc>
          <w:tcPr>
            <w:tcW w:w="4372" w:type="dxa"/>
          </w:tcPr>
          <w:p w14:paraId="071D377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296679">
              <w:rPr>
                <w:rFonts w:ascii="Times New Roman" w:eastAsia="Times New Roman" w:hAnsi="Times New Roman" w:cs="Times New Roman"/>
                <w:sz w:val="24"/>
                <w:szCs w:val="24"/>
                <w:lang w:eastAsia="lv-LV"/>
              </w:rPr>
              <w:t>Projekta pieteikumā skaidri formulēti nometnes mērķi un uzdevumi, atbilstoši nolikuma prasībām</w:t>
            </w:r>
          </w:p>
        </w:tc>
        <w:tc>
          <w:tcPr>
            <w:tcW w:w="963" w:type="dxa"/>
          </w:tcPr>
          <w:p w14:paraId="06E59624"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bookmarkEnd w:id="0"/>
      <w:tr w:rsidR="001F6324" w:rsidRPr="00D340BA" w14:paraId="1EC94E92" w14:textId="77777777" w:rsidTr="001D1D29">
        <w:tc>
          <w:tcPr>
            <w:tcW w:w="1084" w:type="dxa"/>
            <w:vMerge/>
          </w:tcPr>
          <w:p w14:paraId="76FA5816"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tcPr>
          <w:p w14:paraId="7D124803"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tcPr>
          <w:p w14:paraId="41619D64"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 pieteikums</w:t>
            </w:r>
            <w:r w:rsidRPr="00D340BA">
              <w:rPr>
                <w:rFonts w:ascii="Times New Roman" w:eastAsia="Times New Roman" w:hAnsi="Times New Roman" w:cs="Times New Roman"/>
                <w:sz w:val="24"/>
                <w:szCs w:val="24"/>
                <w:lang w:eastAsia="lv-LV"/>
              </w:rPr>
              <w:t xml:space="preserve"> formāli </w:t>
            </w:r>
            <w:r w:rsidRPr="00F32397">
              <w:rPr>
                <w:rFonts w:ascii="Times New Roman" w:eastAsia="Times New Roman" w:hAnsi="Times New Roman" w:cs="Times New Roman"/>
                <w:sz w:val="24"/>
                <w:szCs w:val="24"/>
                <w:lang w:eastAsia="lv-LV"/>
              </w:rPr>
              <w:t>atbilst Konkursa</w:t>
            </w:r>
            <w:r w:rsidRPr="00D340BA">
              <w:rPr>
                <w:rFonts w:ascii="Times New Roman" w:eastAsia="Times New Roman" w:hAnsi="Times New Roman" w:cs="Times New Roman"/>
                <w:sz w:val="24"/>
                <w:szCs w:val="24"/>
                <w:lang w:eastAsia="lv-LV"/>
              </w:rPr>
              <w:t xml:space="preserve"> mērķim</w:t>
            </w:r>
            <w:r>
              <w:rPr>
                <w:rFonts w:ascii="Times New Roman" w:eastAsia="Times New Roman" w:hAnsi="Times New Roman" w:cs="Times New Roman"/>
                <w:sz w:val="24"/>
                <w:szCs w:val="24"/>
                <w:lang w:eastAsia="lv-LV"/>
              </w:rPr>
              <w:t xml:space="preserve"> uzdevumiem, mērķa grupai. </w:t>
            </w:r>
            <w:r w:rsidRPr="00D340BA">
              <w:rPr>
                <w:rFonts w:ascii="Times New Roman" w:eastAsia="Times New Roman" w:hAnsi="Times New Roman" w:cs="Times New Roman"/>
                <w:sz w:val="24"/>
                <w:szCs w:val="24"/>
                <w:lang w:eastAsia="lv-LV"/>
              </w:rPr>
              <w:t xml:space="preserve"> </w:t>
            </w:r>
          </w:p>
        </w:tc>
        <w:tc>
          <w:tcPr>
            <w:tcW w:w="963" w:type="dxa"/>
          </w:tcPr>
          <w:p w14:paraId="58DFDA5F"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1F6324" w:rsidRPr="00D340BA" w14:paraId="2F29B990" w14:textId="77777777" w:rsidTr="001D1D29">
        <w:tc>
          <w:tcPr>
            <w:tcW w:w="1084" w:type="dxa"/>
            <w:vMerge/>
          </w:tcPr>
          <w:p w14:paraId="2BD80BA2"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tcPr>
          <w:p w14:paraId="1A43227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tcPr>
          <w:p w14:paraId="1C8DF631"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 pieteikums</w:t>
            </w:r>
            <w:r w:rsidRPr="00D340BA">
              <w:rPr>
                <w:rFonts w:ascii="Times New Roman" w:eastAsia="Times New Roman" w:hAnsi="Times New Roman" w:cs="Times New Roman"/>
                <w:sz w:val="24"/>
                <w:szCs w:val="24"/>
                <w:lang w:eastAsia="lv-LV"/>
              </w:rPr>
              <w:t xml:space="preserve"> neatbilst mērķim</w:t>
            </w:r>
            <w:r>
              <w:rPr>
                <w:rFonts w:ascii="Times New Roman" w:eastAsia="Times New Roman" w:hAnsi="Times New Roman" w:cs="Times New Roman"/>
                <w:sz w:val="24"/>
                <w:szCs w:val="24"/>
                <w:lang w:eastAsia="lv-LV"/>
              </w:rPr>
              <w:t xml:space="preserve">, </w:t>
            </w:r>
            <w:r w:rsidRPr="00D340BA">
              <w:rPr>
                <w:rFonts w:ascii="Times New Roman" w:eastAsia="Times New Roman" w:hAnsi="Times New Roman" w:cs="Times New Roman"/>
                <w:sz w:val="24"/>
                <w:szCs w:val="24"/>
                <w:lang w:eastAsia="lv-LV"/>
              </w:rPr>
              <w:t>uzdevumiem</w:t>
            </w:r>
            <w:r>
              <w:rPr>
                <w:rFonts w:ascii="Times New Roman" w:eastAsia="Times New Roman" w:hAnsi="Times New Roman" w:cs="Times New Roman"/>
                <w:sz w:val="24"/>
                <w:szCs w:val="24"/>
                <w:lang w:eastAsia="lv-LV"/>
              </w:rPr>
              <w:t>, mērķa grupai</w:t>
            </w:r>
          </w:p>
        </w:tc>
        <w:tc>
          <w:tcPr>
            <w:tcW w:w="963" w:type="dxa"/>
          </w:tcPr>
          <w:p w14:paraId="0D2A69CE"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1F6324" w:rsidRPr="00D340BA" w14:paraId="561CD611" w14:textId="77777777" w:rsidTr="001D1D29">
        <w:tc>
          <w:tcPr>
            <w:tcW w:w="1084" w:type="dxa"/>
            <w:vMerge w:val="restart"/>
          </w:tcPr>
          <w:p w14:paraId="6EC085DA"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val="restart"/>
          </w:tcPr>
          <w:p w14:paraId="6ADBF36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bookmarkStart w:id="1" w:name="_Hlk75875320"/>
            <w:r w:rsidRPr="00D340BA">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pieteikuma saturs un atbilstība</w:t>
            </w:r>
            <w:r>
              <w:rPr>
                <w:rFonts w:ascii="Times New Roman" w:eastAsia="Times New Roman" w:hAnsi="Times New Roman" w:cs="Times New Roman"/>
                <w:color w:val="FF0000"/>
                <w:sz w:val="24"/>
                <w:szCs w:val="24"/>
                <w:lang w:eastAsia="lv-LV"/>
              </w:rPr>
              <w:t xml:space="preserve"> </w:t>
            </w:r>
            <w:r w:rsidRPr="00F32397">
              <w:rPr>
                <w:rFonts w:ascii="Times New Roman" w:eastAsia="Times New Roman" w:hAnsi="Times New Roman" w:cs="Times New Roman"/>
                <w:color w:val="000000" w:themeColor="text1"/>
                <w:sz w:val="24"/>
                <w:szCs w:val="24"/>
                <w:lang w:eastAsia="lv-LV"/>
              </w:rPr>
              <w:t xml:space="preserve">Nolikuma </w:t>
            </w:r>
            <w:r>
              <w:rPr>
                <w:rFonts w:ascii="Times New Roman" w:eastAsia="Times New Roman" w:hAnsi="Times New Roman" w:cs="Times New Roman"/>
                <w:sz w:val="24"/>
                <w:szCs w:val="24"/>
                <w:lang w:eastAsia="lv-LV"/>
              </w:rPr>
              <w:t>uzdevumiem</w:t>
            </w:r>
          </w:p>
          <w:bookmarkEnd w:id="1"/>
          <w:p w14:paraId="1315B653"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ab/>
            </w:r>
          </w:p>
          <w:p w14:paraId="43004407" w14:textId="77777777" w:rsidR="001F6324" w:rsidRPr="00D340BA" w:rsidRDefault="001F6324" w:rsidP="001D1D29">
            <w:pPr>
              <w:spacing w:after="0" w:line="240" w:lineRule="auto"/>
              <w:rPr>
                <w:rFonts w:ascii="Times New Roman" w:eastAsia="Times New Roman" w:hAnsi="Times New Roman" w:cs="Times New Roman"/>
                <w:i/>
                <w:iCs/>
                <w:sz w:val="24"/>
                <w:szCs w:val="24"/>
                <w:lang w:eastAsia="lv-LV"/>
              </w:rPr>
            </w:pPr>
          </w:p>
        </w:tc>
        <w:tc>
          <w:tcPr>
            <w:tcW w:w="4372" w:type="dxa"/>
          </w:tcPr>
          <w:p w14:paraId="7C3E8B05"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 pieteikumā</w:t>
            </w:r>
            <w:r w:rsidRPr="00D340BA">
              <w:rPr>
                <w:rFonts w:ascii="Times New Roman" w:eastAsia="Times New Roman" w:hAnsi="Times New Roman" w:cs="Times New Roman"/>
                <w:sz w:val="24"/>
                <w:szCs w:val="24"/>
                <w:lang w:eastAsia="lv-LV"/>
              </w:rPr>
              <w:t xml:space="preserve"> plānotās </w:t>
            </w:r>
            <w:r w:rsidRPr="00F32397">
              <w:rPr>
                <w:rFonts w:ascii="Times New Roman" w:eastAsia="Times New Roman" w:hAnsi="Times New Roman" w:cs="Times New Roman"/>
                <w:color w:val="000000" w:themeColor="text1"/>
                <w:sz w:val="24"/>
                <w:szCs w:val="24"/>
                <w:lang w:eastAsia="lv-LV"/>
              </w:rPr>
              <w:t>aktivitātes</w:t>
            </w:r>
            <w:r w:rsidRPr="00D34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w:t>
            </w:r>
            <w:r w:rsidRPr="00F32397">
              <w:rPr>
                <w:rFonts w:ascii="Times New Roman" w:eastAsia="Times New Roman" w:hAnsi="Times New Roman" w:cs="Times New Roman"/>
                <w:sz w:val="24"/>
                <w:szCs w:val="24"/>
                <w:lang w:eastAsia="lv-LV"/>
              </w:rPr>
              <w:t>eicin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jēgpilnu brīvā laika pavadīšanu, attīst</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bērnu un jauniešu radošās, intelektuālās un sociālās prasmes</w:t>
            </w:r>
            <w:r>
              <w:rPr>
                <w:rFonts w:ascii="Times New Roman" w:eastAsia="Times New Roman" w:hAnsi="Times New Roman" w:cs="Times New Roman"/>
                <w:sz w:val="24"/>
                <w:szCs w:val="24"/>
                <w:lang w:eastAsia="lv-LV"/>
              </w:rPr>
              <w:t>.</w:t>
            </w:r>
          </w:p>
          <w:p w14:paraId="06682DCA"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Attīst</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komunikācijas, empātijas un komandas darba prasmes, sekmē savstarpējo sadarbību un </w:t>
            </w:r>
            <w:proofErr w:type="spellStart"/>
            <w:r w:rsidRPr="00F32397">
              <w:rPr>
                <w:rFonts w:ascii="Times New Roman" w:eastAsia="Times New Roman" w:hAnsi="Times New Roman" w:cs="Times New Roman"/>
                <w:sz w:val="24"/>
                <w:szCs w:val="24"/>
                <w:lang w:eastAsia="lv-LV"/>
              </w:rPr>
              <w:t>cieņpilnu</w:t>
            </w:r>
            <w:proofErr w:type="spellEnd"/>
            <w:r w:rsidRPr="00F32397">
              <w:rPr>
                <w:rFonts w:ascii="Times New Roman" w:eastAsia="Times New Roman" w:hAnsi="Times New Roman" w:cs="Times New Roman"/>
                <w:sz w:val="24"/>
                <w:szCs w:val="24"/>
                <w:lang w:eastAsia="lv-LV"/>
              </w:rPr>
              <w:t xml:space="preserve"> attieksmi</w:t>
            </w:r>
            <w:r>
              <w:rPr>
                <w:rFonts w:ascii="Times New Roman" w:eastAsia="Times New Roman" w:hAnsi="Times New Roman" w:cs="Times New Roman"/>
                <w:sz w:val="24"/>
                <w:szCs w:val="24"/>
                <w:lang w:eastAsia="lv-LV"/>
              </w:rPr>
              <w:t>.</w:t>
            </w:r>
          </w:p>
          <w:p w14:paraId="65B1524E"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Veicin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veselīgu dzīvesveidu, stiprin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fizisko izturību un </w:t>
            </w:r>
            <w:proofErr w:type="spellStart"/>
            <w:r w:rsidRPr="00F32397">
              <w:rPr>
                <w:rFonts w:ascii="Times New Roman" w:eastAsia="Times New Roman" w:hAnsi="Times New Roman" w:cs="Times New Roman"/>
                <w:sz w:val="24"/>
                <w:szCs w:val="24"/>
                <w:lang w:eastAsia="lv-LV"/>
              </w:rPr>
              <w:t>labizjūtu</w:t>
            </w:r>
            <w:proofErr w:type="spellEnd"/>
            <w:r w:rsidRPr="00F32397">
              <w:rPr>
                <w:rFonts w:ascii="Times New Roman" w:eastAsia="Times New Roman" w:hAnsi="Times New Roman" w:cs="Times New Roman"/>
                <w:sz w:val="24"/>
                <w:szCs w:val="24"/>
                <w:lang w:eastAsia="lv-LV"/>
              </w:rPr>
              <w:t>, kā arī veido pozitīvus ikdienas paradumus;</w:t>
            </w:r>
          </w:p>
          <w:p w14:paraId="5EAF75D1"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Rosin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interesi par karjeras iespējām, palīdz bērniem un jauniešiem apzināties savas stiprās puses un nākotnes profesionālās iespējas</w:t>
            </w:r>
            <w:r>
              <w:rPr>
                <w:rFonts w:ascii="Times New Roman" w:eastAsia="Times New Roman" w:hAnsi="Times New Roman" w:cs="Times New Roman"/>
                <w:sz w:val="24"/>
                <w:szCs w:val="24"/>
                <w:lang w:eastAsia="lv-LV"/>
              </w:rPr>
              <w:t>.</w:t>
            </w:r>
          </w:p>
          <w:p w14:paraId="0C47B9F5"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Veicin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jauniešu piederības sajūtu Latvijai, izprast un novērtēt nacionālās vērtības, kultūras tradīcijas un vēsturi</w:t>
            </w:r>
            <w:r>
              <w:rPr>
                <w:rFonts w:ascii="Times New Roman" w:eastAsia="Times New Roman" w:hAnsi="Times New Roman" w:cs="Times New Roman"/>
                <w:sz w:val="24"/>
                <w:szCs w:val="24"/>
                <w:lang w:eastAsia="lv-LV"/>
              </w:rPr>
              <w:t>.</w:t>
            </w:r>
          </w:p>
          <w:p w14:paraId="36B5961D"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Samazin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bērnu un jauniešu atkarību no </w:t>
            </w:r>
            <w:proofErr w:type="spellStart"/>
            <w:r w:rsidRPr="00F32397">
              <w:rPr>
                <w:rFonts w:ascii="Times New Roman" w:eastAsia="Times New Roman" w:hAnsi="Times New Roman" w:cs="Times New Roman"/>
                <w:sz w:val="24"/>
                <w:szCs w:val="24"/>
                <w:lang w:eastAsia="lv-LV"/>
              </w:rPr>
              <w:t>viedierīcēm</w:t>
            </w:r>
            <w:proofErr w:type="spellEnd"/>
            <w:r w:rsidRPr="00F32397">
              <w:rPr>
                <w:rFonts w:ascii="Times New Roman" w:eastAsia="Times New Roman" w:hAnsi="Times New Roman" w:cs="Times New Roman"/>
                <w:sz w:val="24"/>
                <w:szCs w:val="24"/>
                <w:lang w:eastAsia="lv-LV"/>
              </w:rPr>
              <w:t>, piedāvājot alternatīvas aktivitātes, kas attīsta radošumu, kustīgumu un sociālo mijiedarbību</w:t>
            </w:r>
            <w:r>
              <w:rPr>
                <w:rFonts w:ascii="Times New Roman" w:eastAsia="Times New Roman" w:hAnsi="Times New Roman" w:cs="Times New Roman"/>
                <w:sz w:val="24"/>
                <w:szCs w:val="24"/>
                <w:lang w:eastAsia="lv-LV"/>
              </w:rPr>
              <w:t>.</w:t>
            </w:r>
          </w:p>
          <w:p w14:paraId="6F4CB385" w14:textId="77777777" w:rsidR="001F6324" w:rsidRPr="00F32397"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Sekmē bērnu un jauniešu spēju un talantu izkopšanu interešu izglītības un profesionālās ievirzes jomā (mākslā, mūzikā, dejā, sportā, tehniskajā jaunradē u.c.), kā arī veicin</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iesaisti Dziesmu un deju svētku tradīciju saglabā</w:t>
            </w:r>
            <w:r>
              <w:rPr>
                <w:rFonts w:ascii="Times New Roman" w:eastAsia="Times New Roman" w:hAnsi="Times New Roman" w:cs="Times New Roman"/>
                <w:sz w:val="24"/>
                <w:szCs w:val="24"/>
                <w:lang w:eastAsia="lv-LV"/>
              </w:rPr>
              <w:t>šanu</w:t>
            </w:r>
          </w:p>
          <w:p w14:paraId="6C8FDF1D" w14:textId="77777777" w:rsidR="001F6324" w:rsidRPr="00D340BA" w:rsidRDefault="001F6324" w:rsidP="001D1D29">
            <w:pPr>
              <w:spacing w:after="0" w:line="240" w:lineRule="auto"/>
              <w:jc w:val="both"/>
              <w:rPr>
                <w:rFonts w:ascii="Times New Roman" w:eastAsia="Times New Roman" w:hAnsi="Times New Roman" w:cs="Times New Roman"/>
                <w:sz w:val="24"/>
                <w:szCs w:val="24"/>
                <w:lang w:eastAsia="lv-LV"/>
              </w:rPr>
            </w:pPr>
            <w:r w:rsidRPr="00F32397">
              <w:rPr>
                <w:rFonts w:ascii="Times New Roman" w:eastAsia="Times New Roman" w:hAnsi="Times New Roman" w:cs="Times New Roman"/>
                <w:sz w:val="24"/>
                <w:szCs w:val="24"/>
                <w:lang w:eastAsia="lv-LV"/>
              </w:rPr>
              <w:t>Pilnveido caurviju prasmes, attīst</w:t>
            </w:r>
            <w:r>
              <w:rPr>
                <w:rFonts w:ascii="Times New Roman" w:eastAsia="Times New Roman" w:hAnsi="Times New Roman" w:cs="Times New Roman"/>
                <w:sz w:val="24"/>
                <w:szCs w:val="24"/>
                <w:lang w:eastAsia="lv-LV"/>
              </w:rPr>
              <w:t>a</w:t>
            </w:r>
            <w:r w:rsidRPr="00F32397">
              <w:rPr>
                <w:rFonts w:ascii="Times New Roman" w:eastAsia="Times New Roman" w:hAnsi="Times New Roman" w:cs="Times New Roman"/>
                <w:sz w:val="24"/>
                <w:szCs w:val="24"/>
                <w:lang w:eastAsia="lv-LV"/>
              </w:rPr>
              <w:t xml:space="preserve"> komunikācijas, komandas darba, līderības, problēmu risināšanas un sociāli emocionālās prasmes.</w:t>
            </w:r>
          </w:p>
        </w:tc>
        <w:tc>
          <w:tcPr>
            <w:tcW w:w="963" w:type="dxa"/>
          </w:tcPr>
          <w:p w14:paraId="666F47A8"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1F6324" w:rsidRPr="00D340BA" w14:paraId="5B1AA737" w14:textId="77777777" w:rsidTr="001D1D29">
        <w:tc>
          <w:tcPr>
            <w:tcW w:w="1084" w:type="dxa"/>
            <w:vMerge/>
          </w:tcPr>
          <w:p w14:paraId="2B4D2271"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tcPr>
          <w:p w14:paraId="492F21D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tcPr>
          <w:p w14:paraId="3032185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134B29">
              <w:rPr>
                <w:rFonts w:ascii="Times New Roman" w:eastAsia="Times New Roman" w:hAnsi="Times New Roman" w:cs="Times New Roman"/>
                <w:sz w:val="24"/>
                <w:szCs w:val="24"/>
                <w:lang w:eastAsia="lv-LV"/>
              </w:rPr>
              <w:t>Projekta pieteikum</w:t>
            </w:r>
            <w:r>
              <w:rPr>
                <w:rFonts w:ascii="Times New Roman" w:eastAsia="Times New Roman" w:hAnsi="Times New Roman" w:cs="Times New Roman"/>
                <w:sz w:val="24"/>
                <w:szCs w:val="24"/>
                <w:lang w:eastAsia="lv-LV"/>
              </w:rPr>
              <w:t xml:space="preserve">a </w:t>
            </w:r>
            <w:r w:rsidRPr="00D340BA">
              <w:rPr>
                <w:rFonts w:ascii="Times New Roman" w:eastAsia="Times New Roman" w:hAnsi="Times New Roman" w:cs="Times New Roman"/>
                <w:sz w:val="24"/>
                <w:szCs w:val="24"/>
                <w:lang w:eastAsia="lv-LV"/>
              </w:rPr>
              <w:t>aktivitātes</w:t>
            </w:r>
            <w:r>
              <w:rPr>
                <w:rFonts w:ascii="Times New Roman" w:eastAsia="Times New Roman" w:hAnsi="Times New Roman" w:cs="Times New Roman"/>
                <w:sz w:val="24"/>
                <w:szCs w:val="24"/>
                <w:lang w:eastAsia="lv-LV"/>
              </w:rPr>
              <w:t xml:space="preserve"> daļēji atbilst nolikuma prasībām.</w:t>
            </w:r>
          </w:p>
        </w:tc>
        <w:tc>
          <w:tcPr>
            <w:tcW w:w="963" w:type="dxa"/>
          </w:tcPr>
          <w:p w14:paraId="0CDB7B6C"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1F6324" w:rsidRPr="00D340BA" w14:paraId="224F84A6" w14:textId="77777777" w:rsidTr="001D1D29">
        <w:tc>
          <w:tcPr>
            <w:tcW w:w="1084" w:type="dxa"/>
            <w:vMerge/>
          </w:tcPr>
          <w:p w14:paraId="288DBFAD"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tcPr>
          <w:p w14:paraId="60FF0964"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tcPr>
          <w:p w14:paraId="33182E5A"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134B29">
              <w:rPr>
                <w:rFonts w:ascii="Times New Roman" w:eastAsia="Times New Roman" w:hAnsi="Times New Roman" w:cs="Times New Roman"/>
                <w:color w:val="000000" w:themeColor="text1"/>
                <w:sz w:val="24"/>
                <w:szCs w:val="24"/>
                <w:lang w:eastAsia="lv-LV"/>
              </w:rPr>
              <w:t>Projekta</w:t>
            </w:r>
            <w:r>
              <w:rPr>
                <w:rFonts w:ascii="Times New Roman" w:eastAsia="Times New Roman" w:hAnsi="Times New Roman" w:cs="Times New Roman"/>
                <w:color w:val="000000" w:themeColor="text1"/>
                <w:sz w:val="24"/>
                <w:szCs w:val="24"/>
                <w:lang w:eastAsia="lv-LV"/>
              </w:rPr>
              <w:t xml:space="preserve"> pieteikums </w:t>
            </w:r>
            <w:r w:rsidRPr="00134B29">
              <w:rPr>
                <w:rFonts w:ascii="Times New Roman" w:eastAsia="Times New Roman" w:hAnsi="Times New Roman" w:cs="Times New Roman"/>
                <w:color w:val="000000" w:themeColor="text1"/>
                <w:sz w:val="24"/>
                <w:szCs w:val="24"/>
                <w:lang w:eastAsia="lv-LV"/>
              </w:rPr>
              <w:t>neatbilst nolikuma prasībām.</w:t>
            </w:r>
          </w:p>
        </w:tc>
        <w:tc>
          <w:tcPr>
            <w:tcW w:w="963" w:type="dxa"/>
          </w:tcPr>
          <w:p w14:paraId="41B6F13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1F6324" w:rsidRPr="00D340BA" w14:paraId="03799940" w14:textId="77777777" w:rsidTr="001D1D29">
        <w:tc>
          <w:tcPr>
            <w:tcW w:w="1084" w:type="dxa"/>
            <w:vMerge w:val="restart"/>
          </w:tcPr>
          <w:p w14:paraId="5FA08F59"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val="restart"/>
            <w:shd w:val="clear" w:color="auto" w:fill="FFFFFF" w:themeFill="background1"/>
          </w:tcPr>
          <w:p w14:paraId="2DA82845"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bookmarkStart w:id="2" w:name="_Hlk190596347"/>
            <w:r w:rsidRPr="00D340BA">
              <w:rPr>
                <w:rFonts w:ascii="Times New Roman" w:eastAsia="Times New Roman" w:hAnsi="Times New Roman" w:cs="Times New Roman"/>
                <w:sz w:val="24"/>
                <w:szCs w:val="24"/>
                <w:lang w:eastAsia="lv-LV"/>
              </w:rPr>
              <w:t xml:space="preserve">Darba formu un metožu daudzveidība, </w:t>
            </w:r>
            <w:r w:rsidRPr="00D340BA">
              <w:rPr>
                <w:rFonts w:ascii="Times New Roman" w:eastAsia="Times New Roman" w:hAnsi="Times New Roman" w:cs="Times New Roman"/>
                <w:sz w:val="24"/>
                <w:szCs w:val="24"/>
                <w:lang w:eastAsia="lv-LV"/>
              </w:rPr>
              <w:lastRenderedPageBreak/>
              <w:t>inovācija un radoša pieeja</w:t>
            </w:r>
            <w:bookmarkEnd w:id="2"/>
          </w:p>
        </w:tc>
        <w:tc>
          <w:tcPr>
            <w:tcW w:w="4372" w:type="dxa"/>
            <w:shd w:val="clear" w:color="auto" w:fill="FFFFFF" w:themeFill="background1"/>
          </w:tcPr>
          <w:p w14:paraId="271D97DD"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lastRenderedPageBreak/>
              <w:t xml:space="preserve">Projekta </w:t>
            </w:r>
            <w:r>
              <w:rPr>
                <w:rFonts w:ascii="Times New Roman" w:eastAsia="Times New Roman" w:hAnsi="Times New Roman" w:cs="Times New Roman"/>
                <w:sz w:val="24"/>
                <w:szCs w:val="24"/>
                <w:lang w:eastAsia="lv-LV"/>
              </w:rPr>
              <w:t xml:space="preserve">pieteikuma </w:t>
            </w:r>
            <w:r w:rsidRPr="00D340BA">
              <w:rPr>
                <w:rFonts w:ascii="Times New Roman" w:eastAsia="Times New Roman" w:hAnsi="Times New Roman" w:cs="Times New Roman"/>
                <w:sz w:val="24"/>
                <w:szCs w:val="24"/>
                <w:lang w:eastAsia="lv-LV"/>
              </w:rPr>
              <w:t xml:space="preserve">dalībniekiem ir daudzpusīgas iespējas – plānota dalība </w:t>
            </w:r>
            <w:r w:rsidRPr="00D340BA">
              <w:rPr>
                <w:rFonts w:ascii="Times New Roman" w:eastAsia="Times New Roman" w:hAnsi="Times New Roman" w:cs="Times New Roman"/>
                <w:sz w:val="24"/>
                <w:szCs w:val="24"/>
                <w:lang w:eastAsia="lv-LV"/>
              </w:rPr>
              <w:lastRenderedPageBreak/>
              <w:t xml:space="preserve">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 </w:t>
            </w:r>
          </w:p>
        </w:tc>
        <w:tc>
          <w:tcPr>
            <w:tcW w:w="963" w:type="dxa"/>
          </w:tcPr>
          <w:p w14:paraId="3557C6FD"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lastRenderedPageBreak/>
              <w:t>2</w:t>
            </w:r>
          </w:p>
        </w:tc>
      </w:tr>
      <w:tr w:rsidR="001F6324" w:rsidRPr="00D340BA" w14:paraId="65FEC100" w14:textId="77777777" w:rsidTr="001D1D29">
        <w:tc>
          <w:tcPr>
            <w:tcW w:w="1084" w:type="dxa"/>
            <w:vMerge/>
          </w:tcPr>
          <w:p w14:paraId="6AF8EEB6"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6AEA9A6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45314232"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 pieteikums</w:t>
            </w:r>
            <w:r w:rsidRPr="00D340BA">
              <w:rPr>
                <w:rFonts w:ascii="Times New Roman" w:eastAsia="Times New Roman" w:hAnsi="Times New Roman" w:cs="Times New Roman"/>
                <w:sz w:val="24"/>
                <w:szCs w:val="24"/>
                <w:lang w:eastAsia="lv-LV"/>
              </w:rPr>
              <w:t xml:space="preserve"> ir radošs, tomēr tajā nav plānots izmantot daudzpusīgas metodes.</w:t>
            </w:r>
          </w:p>
        </w:tc>
        <w:tc>
          <w:tcPr>
            <w:tcW w:w="963" w:type="dxa"/>
          </w:tcPr>
          <w:p w14:paraId="0DC5529B"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1F6324" w:rsidRPr="00D340BA" w14:paraId="15E3E9F8" w14:textId="77777777" w:rsidTr="001D1D29">
        <w:tc>
          <w:tcPr>
            <w:tcW w:w="1084" w:type="dxa"/>
            <w:vMerge/>
          </w:tcPr>
          <w:p w14:paraId="793EFBC8"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004E1F3F"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5011637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 xml:space="preserve">a pieteikumā </w:t>
            </w:r>
            <w:r w:rsidRPr="00D340BA">
              <w:rPr>
                <w:rFonts w:ascii="Times New Roman" w:eastAsia="Times New Roman" w:hAnsi="Times New Roman" w:cs="Times New Roman"/>
                <w:sz w:val="24"/>
                <w:szCs w:val="24"/>
                <w:lang w:eastAsia="lv-LV"/>
              </w:rPr>
              <w:t>plānotā progr</w:t>
            </w:r>
            <w:bookmarkStart w:id="3" w:name="_GoBack"/>
            <w:bookmarkEnd w:id="3"/>
            <w:r w:rsidRPr="00D340BA">
              <w:rPr>
                <w:rFonts w:ascii="Times New Roman" w:eastAsia="Times New Roman" w:hAnsi="Times New Roman" w:cs="Times New Roman"/>
                <w:sz w:val="24"/>
                <w:szCs w:val="24"/>
                <w:lang w:eastAsia="lv-LV"/>
              </w:rPr>
              <w:t>amma ir vienveidīga, tajā trūkst radošuma, jaunu metožu pielietošana nav plānota.</w:t>
            </w:r>
          </w:p>
        </w:tc>
        <w:tc>
          <w:tcPr>
            <w:tcW w:w="963" w:type="dxa"/>
          </w:tcPr>
          <w:p w14:paraId="4621B32F"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1F6324" w:rsidRPr="00D340BA" w14:paraId="6B466911" w14:textId="77777777" w:rsidTr="001D1D29">
        <w:tc>
          <w:tcPr>
            <w:tcW w:w="1084" w:type="dxa"/>
            <w:vMerge w:val="restart"/>
          </w:tcPr>
          <w:p w14:paraId="6393850A"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val="restart"/>
            <w:shd w:val="clear" w:color="auto" w:fill="FFFFFF" w:themeFill="background1"/>
          </w:tcPr>
          <w:p w14:paraId="2D63C872"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Materiāli tehniskās bāzes nodrošinājums</w:t>
            </w:r>
          </w:p>
        </w:tc>
        <w:tc>
          <w:tcPr>
            <w:tcW w:w="4372" w:type="dxa"/>
            <w:shd w:val="clear" w:color="auto" w:fill="FFFFFF" w:themeFill="background1"/>
          </w:tcPr>
          <w:p w14:paraId="680D81E5" w14:textId="77777777" w:rsidR="001F6324" w:rsidRPr="00D340BA" w:rsidRDefault="001F6324" w:rsidP="001D1D29">
            <w:pPr>
              <w:spacing w:after="0" w:line="240" w:lineRule="auto"/>
              <w:rPr>
                <w:rFonts w:ascii="Times New Roman" w:eastAsia="Times New Roman" w:hAnsi="Times New Roman" w:cs="Times New Roman"/>
                <w:iCs/>
                <w:sz w:val="24"/>
                <w:szCs w:val="24"/>
                <w:lang w:eastAsia="lv-LV"/>
              </w:rPr>
            </w:pPr>
            <w:r w:rsidRPr="00D340BA">
              <w:rPr>
                <w:rFonts w:ascii="Times New Roman" w:eastAsia="Times New Roman" w:hAnsi="Times New Roman" w:cs="Times New Roman"/>
                <w:iCs/>
                <w:sz w:val="24"/>
                <w:szCs w:val="24"/>
                <w:lang w:eastAsia="lv-LV"/>
              </w:rPr>
              <w:t>Projektam ir labs materiāli tehniskās bāzes nodrošinājums, tā atbilst plānotajam nometnes konceptuālajam saturam, ir priekšnoteikumi atbilstošiem sadzīves apstākļiem un sanitārajām normām.</w:t>
            </w:r>
          </w:p>
        </w:tc>
        <w:tc>
          <w:tcPr>
            <w:tcW w:w="963" w:type="dxa"/>
          </w:tcPr>
          <w:p w14:paraId="693D2F24"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1F6324" w:rsidRPr="00D340BA" w14:paraId="111371DC" w14:textId="77777777" w:rsidTr="001D1D29">
        <w:tc>
          <w:tcPr>
            <w:tcW w:w="1084" w:type="dxa"/>
            <w:vMerge/>
          </w:tcPr>
          <w:p w14:paraId="0739AE16"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4AD82DAD"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625D1BB7" w14:textId="77777777" w:rsidR="001F6324" w:rsidRPr="00D340BA" w:rsidRDefault="001F6324" w:rsidP="001D1D29">
            <w:pPr>
              <w:spacing w:after="0" w:line="240" w:lineRule="auto"/>
              <w:rPr>
                <w:rFonts w:ascii="Times New Roman" w:eastAsia="Times New Roman" w:hAnsi="Times New Roman" w:cs="Times New Roman"/>
                <w:iCs/>
                <w:sz w:val="24"/>
                <w:szCs w:val="24"/>
                <w:lang w:eastAsia="lv-LV"/>
              </w:rPr>
            </w:pPr>
            <w:r w:rsidRPr="00D340BA">
              <w:rPr>
                <w:rFonts w:ascii="Times New Roman" w:eastAsia="Times New Roman" w:hAnsi="Times New Roman" w:cs="Times New Roman"/>
                <w:iCs/>
                <w:sz w:val="24"/>
                <w:szCs w:val="24"/>
                <w:lang w:eastAsia="lv-LV"/>
              </w:rPr>
              <w:t>Projekta materiāli tehniskais nodrošinājums ir daļējs.</w:t>
            </w:r>
          </w:p>
        </w:tc>
        <w:tc>
          <w:tcPr>
            <w:tcW w:w="963" w:type="dxa"/>
          </w:tcPr>
          <w:p w14:paraId="28FD1B7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1F6324" w:rsidRPr="00D340BA" w14:paraId="261C49EC" w14:textId="77777777" w:rsidTr="001D1D29">
        <w:tc>
          <w:tcPr>
            <w:tcW w:w="1084" w:type="dxa"/>
            <w:vMerge/>
          </w:tcPr>
          <w:p w14:paraId="3203BF4B"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54CE66D4"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0D4BB0E7" w14:textId="77777777" w:rsidR="001F6324" w:rsidRPr="00D340BA" w:rsidRDefault="001F6324" w:rsidP="001D1D29">
            <w:pPr>
              <w:spacing w:after="0" w:line="240" w:lineRule="auto"/>
              <w:rPr>
                <w:rFonts w:ascii="Times New Roman" w:eastAsia="Times New Roman" w:hAnsi="Times New Roman" w:cs="Times New Roman"/>
                <w:iCs/>
                <w:sz w:val="24"/>
                <w:szCs w:val="24"/>
                <w:lang w:eastAsia="lv-LV"/>
              </w:rPr>
            </w:pPr>
            <w:r w:rsidRPr="00D340BA">
              <w:rPr>
                <w:rFonts w:ascii="Times New Roman" w:eastAsia="Times New Roman" w:hAnsi="Times New Roman" w:cs="Times New Roman"/>
                <w:iCs/>
                <w:sz w:val="24"/>
                <w:szCs w:val="24"/>
                <w:lang w:eastAsia="lv-LV"/>
              </w:rPr>
              <w:t>Projektam ir nepietiekams materiāli tehniskais nodrošinājums.</w:t>
            </w:r>
          </w:p>
        </w:tc>
        <w:tc>
          <w:tcPr>
            <w:tcW w:w="963" w:type="dxa"/>
          </w:tcPr>
          <w:p w14:paraId="2BCE584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1F6324" w:rsidRPr="00D340BA" w14:paraId="214B6A38" w14:textId="77777777" w:rsidTr="001D1D29">
        <w:tc>
          <w:tcPr>
            <w:tcW w:w="1084" w:type="dxa"/>
          </w:tcPr>
          <w:p w14:paraId="264C9ED4"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shd w:val="clear" w:color="auto" w:fill="FFFFFF" w:themeFill="background1"/>
          </w:tcPr>
          <w:p w14:paraId="6475F86A"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Organizatoriskās kapacitātes nodrošinājums</w:t>
            </w:r>
          </w:p>
        </w:tc>
        <w:tc>
          <w:tcPr>
            <w:tcW w:w="4372" w:type="dxa"/>
            <w:shd w:val="clear" w:color="auto" w:fill="FFFFFF" w:themeFill="background1"/>
          </w:tcPr>
          <w:p w14:paraId="1CC7ECB3" w14:textId="77777777" w:rsidR="001F6324" w:rsidRPr="00D340BA" w:rsidRDefault="001F6324" w:rsidP="001D1D29">
            <w:pPr>
              <w:spacing w:after="0" w:line="240" w:lineRule="auto"/>
              <w:rPr>
                <w:rFonts w:ascii="Times New Roman" w:eastAsia="Times New Roman" w:hAnsi="Times New Roman" w:cs="Times New Roman"/>
                <w:iCs/>
                <w:sz w:val="24"/>
                <w:szCs w:val="24"/>
                <w:lang w:eastAsia="lv-LV"/>
              </w:rPr>
            </w:pPr>
            <w:r w:rsidRPr="005171E0">
              <w:rPr>
                <w:rFonts w:ascii="Times New Roman" w:eastAsia="Times New Roman" w:hAnsi="Times New Roman" w:cs="Times New Roman"/>
                <w:iCs/>
                <w:sz w:val="24"/>
                <w:szCs w:val="24"/>
                <w:lang w:eastAsia="lv-LV"/>
              </w:rPr>
              <w:t>Organizatoram ir pieredze bērnu un jauniešu nometņu vadīšanā.</w:t>
            </w:r>
            <w:r>
              <w:rPr>
                <w:rFonts w:ascii="Times New Roman" w:eastAsia="Times New Roman" w:hAnsi="Times New Roman" w:cs="Times New Roman"/>
                <w:iCs/>
                <w:sz w:val="24"/>
                <w:szCs w:val="24"/>
                <w:lang w:eastAsia="lv-LV"/>
              </w:rPr>
              <w:t xml:space="preserve"> </w:t>
            </w:r>
            <w:r w:rsidRPr="005171E0">
              <w:rPr>
                <w:rFonts w:ascii="Times New Roman" w:eastAsia="Times New Roman" w:hAnsi="Times New Roman" w:cs="Times New Roman"/>
                <w:iCs/>
                <w:sz w:val="24"/>
                <w:szCs w:val="24"/>
                <w:lang w:eastAsia="lv-LV"/>
              </w:rPr>
              <w:t xml:space="preserve">Nodrošināta kvalificētu speciālistu (pedagogu, treneru, </w:t>
            </w:r>
            <w:proofErr w:type="spellStart"/>
            <w:r w:rsidRPr="005171E0">
              <w:rPr>
                <w:rFonts w:ascii="Times New Roman" w:eastAsia="Times New Roman" w:hAnsi="Times New Roman" w:cs="Times New Roman"/>
                <w:iCs/>
                <w:sz w:val="24"/>
                <w:szCs w:val="24"/>
                <w:lang w:eastAsia="lv-LV"/>
              </w:rPr>
              <w:t>mentoru</w:t>
            </w:r>
            <w:proofErr w:type="spellEnd"/>
            <w:r w:rsidRPr="005171E0">
              <w:rPr>
                <w:rFonts w:ascii="Times New Roman" w:eastAsia="Times New Roman" w:hAnsi="Times New Roman" w:cs="Times New Roman"/>
                <w:iCs/>
                <w:sz w:val="24"/>
                <w:szCs w:val="24"/>
                <w:lang w:eastAsia="lv-LV"/>
              </w:rPr>
              <w:t xml:space="preserve"> u.c.) piesaiste.</w:t>
            </w:r>
          </w:p>
        </w:tc>
        <w:tc>
          <w:tcPr>
            <w:tcW w:w="963" w:type="dxa"/>
          </w:tcPr>
          <w:p w14:paraId="3CD061F9" w14:textId="77777777" w:rsidR="001F6324" w:rsidRPr="002F339F" w:rsidRDefault="001F6324" w:rsidP="001D1D29">
            <w:pPr>
              <w:spacing w:after="0" w:line="240" w:lineRule="auto"/>
              <w:rPr>
                <w:rFonts w:ascii="Times New Roman" w:eastAsia="Times New Roman" w:hAnsi="Times New Roman" w:cs="Times New Roman"/>
                <w:sz w:val="24"/>
                <w:szCs w:val="24"/>
                <w:lang w:eastAsia="lv-LV"/>
              </w:rPr>
            </w:pPr>
            <w:r w:rsidRPr="002F339F">
              <w:rPr>
                <w:rFonts w:ascii="Times New Roman" w:eastAsia="Times New Roman" w:hAnsi="Times New Roman" w:cs="Times New Roman"/>
                <w:sz w:val="24"/>
                <w:szCs w:val="24"/>
                <w:lang w:eastAsia="lv-LV"/>
              </w:rPr>
              <w:t>1</w:t>
            </w:r>
          </w:p>
        </w:tc>
      </w:tr>
      <w:tr w:rsidR="001F6324" w:rsidRPr="00D340BA" w14:paraId="19457797" w14:textId="77777777" w:rsidTr="001D1D29">
        <w:tc>
          <w:tcPr>
            <w:tcW w:w="1084" w:type="dxa"/>
          </w:tcPr>
          <w:p w14:paraId="6536BB3C" w14:textId="77777777" w:rsidR="001F6324" w:rsidRPr="00FC2B4D" w:rsidRDefault="001F6324" w:rsidP="001F6324">
            <w:pPr>
              <w:pStyle w:val="Sarakstarindkopa"/>
              <w:numPr>
                <w:ilvl w:val="0"/>
                <w:numId w:val="5"/>
              </w:numPr>
              <w:spacing w:after="0" w:line="240" w:lineRule="auto"/>
              <w:rPr>
                <w:rFonts w:ascii="Times New Roman" w:eastAsia="Times New Roman" w:hAnsi="Times New Roman" w:cs="Times New Roman"/>
                <w:sz w:val="24"/>
                <w:szCs w:val="24"/>
                <w:lang w:eastAsia="lv-LV"/>
              </w:rPr>
            </w:pPr>
          </w:p>
        </w:tc>
        <w:tc>
          <w:tcPr>
            <w:tcW w:w="2336" w:type="dxa"/>
            <w:shd w:val="clear" w:color="auto" w:fill="FFFFFF" w:themeFill="background1"/>
          </w:tcPr>
          <w:p w14:paraId="7FB9E547" w14:textId="77777777" w:rsidR="001F6324" w:rsidRDefault="001F6324" w:rsidP="001D1D29">
            <w:pPr>
              <w:spacing w:after="0" w:line="240" w:lineRule="auto"/>
              <w:rPr>
                <w:rFonts w:ascii="Times New Roman" w:eastAsia="Times New Roman" w:hAnsi="Times New Roman" w:cs="Times New Roman"/>
                <w:sz w:val="24"/>
                <w:szCs w:val="24"/>
                <w:lang w:eastAsia="lv-LV"/>
              </w:rPr>
            </w:pPr>
            <w:r w:rsidRPr="005171E0">
              <w:rPr>
                <w:rFonts w:ascii="Times New Roman" w:eastAsia="Times New Roman" w:hAnsi="Times New Roman" w:cs="Times New Roman"/>
                <w:sz w:val="24"/>
                <w:szCs w:val="24"/>
                <w:lang w:eastAsia="lv-LV"/>
              </w:rPr>
              <w:t>Pieejamība un sociālā iekļaušana</w:t>
            </w:r>
          </w:p>
        </w:tc>
        <w:tc>
          <w:tcPr>
            <w:tcW w:w="4372" w:type="dxa"/>
            <w:shd w:val="clear" w:color="auto" w:fill="FFFFFF" w:themeFill="background1"/>
          </w:tcPr>
          <w:p w14:paraId="199DD7FF" w14:textId="77777777" w:rsidR="001F6324" w:rsidRPr="00D340BA" w:rsidRDefault="001F6324" w:rsidP="001D1D29">
            <w:pPr>
              <w:spacing w:after="0" w:line="240" w:lineRule="auto"/>
              <w:rPr>
                <w:rFonts w:ascii="Times New Roman" w:eastAsia="Times New Roman" w:hAnsi="Times New Roman" w:cs="Times New Roman"/>
                <w:iCs/>
                <w:sz w:val="24"/>
                <w:szCs w:val="24"/>
                <w:lang w:eastAsia="lv-LV"/>
              </w:rPr>
            </w:pPr>
            <w:r w:rsidRPr="005171E0">
              <w:rPr>
                <w:rFonts w:ascii="Times New Roman" w:eastAsia="Times New Roman" w:hAnsi="Times New Roman" w:cs="Times New Roman"/>
                <w:iCs/>
                <w:sz w:val="24"/>
                <w:szCs w:val="24"/>
                <w:lang w:eastAsia="lv-LV"/>
              </w:rPr>
              <w:t>Nodrošināta iespēja piedalīties sociāli mazāk aizsargātiem bērniem un jauniešiem.</w:t>
            </w:r>
          </w:p>
        </w:tc>
        <w:tc>
          <w:tcPr>
            <w:tcW w:w="963" w:type="dxa"/>
          </w:tcPr>
          <w:p w14:paraId="57740736" w14:textId="77777777" w:rsidR="001F6324" w:rsidRPr="002F339F" w:rsidRDefault="001F6324" w:rsidP="001D1D29">
            <w:pPr>
              <w:spacing w:after="0" w:line="240" w:lineRule="auto"/>
              <w:rPr>
                <w:rFonts w:ascii="Times New Roman" w:eastAsia="Times New Roman" w:hAnsi="Times New Roman" w:cs="Times New Roman"/>
                <w:sz w:val="24"/>
                <w:szCs w:val="24"/>
                <w:lang w:eastAsia="lv-LV"/>
              </w:rPr>
            </w:pPr>
            <w:r w:rsidRPr="002F339F">
              <w:rPr>
                <w:rFonts w:ascii="Times New Roman" w:eastAsia="Times New Roman" w:hAnsi="Times New Roman" w:cs="Times New Roman"/>
                <w:sz w:val="24"/>
                <w:szCs w:val="24"/>
                <w:lang w:eastAsia="lv-LV"/>
              </w:rPr>
              <w:t>1</w:t>
            </w:r>
          </w:p>
        </w:tc>
      </w:tr>
      <w:tr w:rsidR="001F6324" w:rsidRPr="00D340BA" w14:paraId="34A51C67" w14:textId="77777777" w:rsidTr="001D1D29">
        <w:tc>
          <w:tcPr>
            <w:tcW w:w="1084" w:type="dxa"/>
          </w:tcPr>
          <w:p w14:paraId="19098E96" w14:textId="77777777" w:rsidR="001F6324" w:rsidRPr="00FC2B4D" w:rsidRDefault="001F6324" w:rsidP="001F6324">
            <w:pPr>
              <w:pStyle w:val="Sarakstarindkopa"/>
              <w:numPr>
                <w:ilvl w:val="0"/>
                <w:numId w:val="5"/>
              </w:numPr>
              <w:spacing w:after="0" w:line="240" w:lineRule="auto"/>
              <w:rPr>
                <w:rFonts w:ascii="Times New Roman" w:eastAsia="Times New Roman" w:hAnsi="Times New Roman" w:cs="Times New Roman"/>
                <w:sz w:val="24"/>
                <w:szCs w:val="24"/>
                <w:lang w:eastAsia="lv-LV"/>
              </w:rPr>
            </w:pPr>
          </w:p>
        </w:tc>
        <w:tc>
          <w:tcPr>
            <w:tcW w:w="2336" w:type="dxa"/>
            <w:shd w:val="clear" w:color="auto" w:fill="FFFFFF" w:themeFill="background1"/>
          </w:tcPr>
          <w:p w14:paraId="1EAFC2D9" w14:textId="77777777" w:rsidR="001F6324" w:rsidRPr="005171E0" w:rsidRDefault="001F6324" w:rsidP="001D1D29">
            <w:pPr>
              <w:spacing w:after="0" w:line="240" w:lineRule="auto"/>
              <w:rPr>
                <w:rFonts w:ascii="Times New Roman" w:eastAsia="Times New Roman" w:hAnsi="Times New Roman" w:cs="Times New Roman"/>
                <w:sz w:val="24"/>
                <w:szCs w:val="24"/>
                <w:lang w:eastAsia="lv-LV"/>
              </w:rPr>
            </w:pPr>
            <w:r w:rsidRPr="005171E0">
              <w:rPr>
                <w:rFonts w:ascii="Times New Roman" w:eastAsia="Times New Roman" w:hAnsi="Times New Roman" w:cs="Times New Roman"/>
                <w:sz w:val="24"/>
                <w:szCs w:val="24"/>
                <w:lang w:eastAsia="lv-LV"/>
              </w:rPr>
              <w:t>Nometnes ilgtspēja un ietekme</w:t>
            </w:r>
          </w:p>
        </w:tc>
        <w:tc>
          <w:tcPr>
            <w:tcW w:w="4372" w:type="dxa"/>
            <w:shd w:val="clear" w:color="auto" w:fill="FFFFFF" w:themeFill="background1"/>
          </w:tcPr>
          <w:p w14:paraId="57D2B4B4" w14:textId="77777777" w:rsidR="001F6324" w:rsidRPr="005171E0" w:rsidRDefault="001F6324" w:rsidP="001D1D29">
            <w:pPr>
              <w:spacing w:after="0" w:line="240" w:lineRule="auto"/>
              <w:rPr>
                <w:rFonts w:ascii="Times New Roman" w:eastAsia="Times New Roman" w:hAnsi="Times New Roman" w:cs="Times New Roman"/>
                <w:iCs/>
                <w:sz w:val="24"/>
                <w:szCs w:val="24"/>
                <w:lang w:eastAsia="lv-LV"/>
              </w:rPr>
            </w:pPr>
            <w:r w:rsidRPr="005171E0">
              <w:rPr>
                <w:rFonts w:ascii="Times New Roman" w:eastAsia="Times New Roman" w:hAnsi="Times New Roman" w:cs="Times New Roman"/>
                <w:iCs/>
                <w:sz w:val="24"/>
                <w:szCs w:val="24"/>
                <w:lang w:eastAsia="lv-LV"/>
              </w:rPr>
              <w:t>Plānota ilgtermiņa ietekme uz bērnu un jauniešu attīstību un ieradumiem.</w:t>
            </w:r>
            <w:r>
              <w:rPr>
                <w:rFonts w:ascii="Times New Roman" w:eastAsia="Times New Roman" w:hAnsi="Times New Roman" w:cs="Times New Roman"/>
                <w:iCs/>
                <w:sz w:val="24"/>
                <w:szCs w:val="24"/>
                <w:lang w:eastAsia="lv-LV"/>
              </w:rPr>
              <w:t xml:space="preserve"> </w:t>
            </w:r>
            <w:r w:rsidRPr="005171E0">
              <w:rPr>
                <w:rFonts w:ascii="Times New Roman" w:eastAsia="Times New Roman" w:hAnsi="Times New Roman" w:cs="Times New Roman"/>
                <w:iCs/>
                <w:sz w:val="24"/>
                <w:szCs w:val="24"/>
                <w:lang w:eastAsia="lv-LV"/>
              </w:rPr>
              <w:t>Nometnes aktivitātes veicina dalībnieku zināšanu un prasmju tālāku pielietošanu.</w:t>
            </w:r>
          </w:p>
        </w:tc>
        <w:tc>
          <w:tcPr>
            <w:tcW w:w="963" w:type="dxa"/>
          </w:tcPr>
          <w:p w14:paraId="496B4E3B" w14:textId="77777777" w:rsidR="001F6324" w:rsidRPr="002F339F" w:rsidRDefault="001F6324" w:rsidP="001D1D29">
            <w:pPr>
              <w:spacing w:after="0" w:line="240" w:lineRule="auto"/>
              <w:rPr>
                <w:rFonts w:ascii="Times New Roman" w:eastAsia="Times New Roman" w:hAnsi="Times New Roman" w:cs="Times New Roman"/>
                <w:sz w:val="24"/>
                <w:szCs w:val="24"/>
                <w:lang w:eastAsia="lv-LV"/>
              </w:rPr>
            </w:pPr>
            <w:r w:rsidRPr="002F339F">
              <w:rPr>
                <w:rFonts w:ascii="Times New Roman" w:eastAsia="Times New Roman" w:hAnsi="Times New Roman" w:cs="Times New Roman"/>
                <w:sz w:val="24"/>
                <w:szCs w:val="24"/>
                <w:lang w:eastAsia="lv-LV"/>
              </w:rPr>
              <w:t>2</w:t>
            </w:r>
          </w:p>
        </w:tc>
      </w:tr>
      <w:tr w:rsidR="001F6324" w:rsidRPr="00D340BA" w14:paraId="43B4CC6D" w14:textId="77777777" w:rsidTr="001D1D29">
        <w:tc>
          <w:tcPr>
            <w:tcW w:w="1084" w:type="dxa"/>
            <w:vMerge w:val="restart"/>
          </w:tcPr>
          <w:p w14:paraId="3D3F75A2"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val="restart"/>
            <w:shd w:val="clear" w:color="auto" w:fill="FFFFFF" w:themeFill="background1"/>
          </w:tcPr>
          <w:p w14:paraId="4690960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Projekta</w:t>
            </w:r>
            <w:r>
              <w:rPr>
                <w:rFonts w:ascii="Times New Roman" w:eastAsia="Times New Roman" w:hAnsi="Times New Roman" w:cs="Times New Roman"/>
                <w:sz w:val="24"/>
                <w:szCs w:val="24"/>
                <w:lang w:eastAsia="lv-LV"/>
              </w:rPr>
              <w:t xml:space="preserve"> pieteikuma</w:t>
            </w:r>
            <w:r w:rsidRPr="00D340BA">
              <w:rPr>
                <w:rFonts w:ascii="Times New Roman" w:eastAsia="Times New Roman" w:hAnsi="Times New Roman" w:cs="Times New Roman"/>
                <w:sz w:val="24"/>
                <w:szCs w:val="24"/>
                <w:lang w:eastAsia="lv-LV"/>
              </w:rPr>
              <w:t xml:space="preserve"> izstrādes kvalitāte, atbilstība nometnes veidam, aktivitātēm</w:t>
            </w:r>
          </w:p>
        </w:tc>
        <w:tc>
          <w:tcPr>
            <w:tcW w:w="4372" w:type="dxa"/>
            <w:shd w:val="clear" w:color="auto" w:fill="FFFFFF" w:themeFill="background1"/>
          </w:tcPr>
          <w:p w14:paraId="33D76926"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 pieteikums</w:t>
            </w:r>
            <w:r w:rsidRPr="00D340BA">
              <w:rPr>
                <w:rFonts w:ascii="Times New Roman" w:eastAsia="Times New Roman" w:hAnsi="Times New Roman" w:cs="Times New Roman"/>
                <w:sz w:val="24"/>
                <w:szCs w:val="24"/>
                <w:lang w:eastAsia="lv-LV"/>
              </w:rPr>
              <w:t xml:space="preserve"> ir kvalitatīvi izstrādāts, ievērojot programmas izveides nosacījumus.</w:t>
            </w:r>
          </w:p>
        </w:tc>
        <w:tc>
          <w:tcPr>
            <w:tcW w:w="963" w:type="dxa"/>
          </w:tcPr>
          <w:p w14:paraId="69E9A6E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 xml:space="preserve"> 2</w:t>
            </w:r>
          </w:p>
        </w:tc>
      </w:tr>
      <w:tr w:rsidR="001F6324" w:rsidRPr="00D340BA" w14:paraId="245AC448" w14:textId="77777777" w:rsidTr="001D1D29">
        <w:tc>
          <w:tcPr>
            <w:tcW w:w="1084" w:type="dxa"/>
            <w:vMerge/>
          </w:tcPr>
          <w:p w14:paraId="0A1349A4"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20FCDC7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1FA28A7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 pieteikums</w:t>
            </w:r>
            <w:r w:rsidRPr="00D340BA">
              <w:rPr>
                <w:rFonts w:ascii="Times New Roman" w:eastAsia="Times New Roman" w:hAnsi="Times New Roman" w:cs="Times New Roman"/>
                <w:sz w:val="24"/>
                <w:szCs w:val="24"/>
                <w:lang w:eastAsia="lv-LV"/>
              </w:rPr>
              <w:t xml:space="preserve"> ir kvalitatīvi izstrādāts, bet ir atsevišķas nepilnības.</w:t>
            </w:r>
          </w:p>
        </w:tc>
        <w:tc>
          <w:tcPr>
            <w:tcW w:w="963" w:type="dxa"/>
          </w:tcPr>
          <w:p w14:paraId="39A5AFEC"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1F6324" w:rsidRPr="00D340BA" w14:paraId="73897EF3" w14:textId="77777777" w:rsidTr="001D1D29">
        <w:tc>
          <w:tcPr>
            <w:tcW w:w="1084" w:type="dxa"/>
            <w:vMerge/>
          </w:tcPr>
          <w:p w14:paraId="4928C5F0"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3C3E627A"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4054B770"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F7215F">
              <w:rPr>
                <w:rFonts w:ascii="Times New Roman" w:eastAsia="Times New Roman" w:hAnsi="Times New Roman" w:cs="Times New Roman"/>
                <w:color w:val="000000" w:themeColor="text1"/>
                <w:sz w:val="24"/>
                <w:szCs w:val="24"/>
                <w:lang w:eastAsia="lv-LV"/>
              </w:rPr>
              <w:t>Projekta pieteikums nav kvalitatīvs.</w:t>
            </w:r>
          </w:p>
        </w:tc>
        <w:tc>
          <w:tcPr>
            <w:tcW w:w="963" w:type="dxa"/>
          </w:tcPr>
          <w:p w14:paraId="0D0E2AB8"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1F6324" w:rsidRPr="00D340BA" w14:paraId="652B6FB5" w14:textId="77777777" w:rsidTr="001D1D29">
        <w:tc>
          <w:tcPr>
            <w:tcW w:w="1084" w:type="dxa"/>
            <w:vMerge w:val="restart"/>
          </w:tcPr>
          <w:p w14:paraId="7CD833A0" w14:textId="77777777" w:rsidR="001F6324" w:rsidRPr="00D340BA" w:rsidRDefault="001F6324" w:rsidP="001D1D29">
            <w:pPr>
              <w:spacing w:after="0" w:line="240" w:lineRule="auto"/>
              <w:ind w:left="360"/>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6.</w:t>
            </w:r>
          </w:p>
        </w:tc>
        <w:tc>
          <w:tcPr>
            <w:tcW w:w="2336" w:type="dxa"/>
            <w:vMerge w:val="restart"/>
            <w:shd w:val="clear" w:color="auto" w:fill="FFFFFF" w:themeFill="background1"/>
          </w:tcPr>
          <w:p w14:paraId="0D416B01"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Projekta</w:t>
            </w:r>
            <w:r>
              <w:rPr>
                <w:rFonts w:ascii="Times New Roman" w:eastAsia="Times New Roman" w:hAnsi="Times New Roman" w:cs="Times New Roman"/>
                <w:sz w:val="24"/>
                <w:szCs w:val="24"/>
                <w:lang w:eastAsia="lv-LV"/>
              </w:rPr>
              <w:t xml:space="preserve"> pieteikuma</w:t>
            </w:r>
            <w:r w:rsidRPr="00D340BA">
              <w:rPr>
                <w:rFonts w:ascii="Times New Roman" w:eastAsia="Times New Roman" w:hAnsi="Times New Roman" w:cs="Times New Roman"/>
                <w:sz w:val="24"/>
                <w:szCs w:val="24"/>
                <w:lang w:eastAsia="lv-LV"/>
              </w:rPr>
              <w:t xml:space="preserve"> tāmes detalizācija, precizitāte, izmaksu pamatotība un atbilstība plānotajai nometnes programmai</w:t>
            </w:r>
          </w:p>
        </w:tc>
        <w:tc>
          <w:tcPr>
            <w:tcW w:w="4372" w:type="dxa"/>
            <w:shd w:val="clear" w:color="auto" w:fill="FFFFFF" w:themeFill="background1"/>
          </w:tcPr>
          <w:p w14:paraId="21B2ABCE"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Projekta</w:t>
            </w:r>
            <w:r>
              <w:rPr>
                <w:rFonts w:ascii="Times New Roman" w:eastAsia="Times New Roman" w:hAnsi="Times New Roman" w:cs="Times New Roman"/>
                <w:sz w:val="24"/>
                <w:szCs w:val="24"/>
                <w:lang w:eastAsia="lv-LV"/>
              </w:rPr>
              <w:t xml:space="preserve"> pieteikuma</w:t>
            </w:r>
            <w:r w:rsidRPr="00D340BA">
              <w:rPr>
                <w:rFonts w:ascii="Times New Roman" w:eastAsia="Times New Roman" w:hAnsi="Times New Roman" w:cs="Times New Roman"/>
                <w:sz w:val="24"/>
                <w:szCs w:val="24"/>
                <w:lang w:eastAsia="lv-LV"/>
              </w:rPr>
              <w:t xml:space="preserve"> izmaksas ir pilnībā pamatotas.</w:t>
            </w:r>
          </w:p>
        </w:tc>
        <w:tc>
          <w:tcPr>
            <w:tcW w:w="963" w:type="dxa"/>
          </w:tcPr>
          <w:p w14:paraId="5E75B847"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1F6324" w:rsidRPr="00D340BA" w14:paraId="1A7C276D" w14:textId="77777777" w:rsidTr="001D1D29">
        <w:tc>
          <w:tcPr>
            <w:tcW w:w="1084" w:type="dxa"/>
            <w:vMerge/>
          </w:tcPr>
          <w:p w14:paraId="4E694C84"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38A95505"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532F7E53"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Projekta</w:t>
            </w:r>
            <w:r>
              <w:rPr>
                <w:rFonts w:ascii="Times New Roman" w:eastAsia="Times New Roman" w:hAnsi="Times New Roman" w:cs="Times New Roman"/>
                <w:sz w:val="24"/>
                <w:szCs w:val="24"/>
                <w:lang w:eastAsia="lv-LV"/>
              </w:rPr>
              <w:t xml:space="preserve"> pieteikuma</w:t>
            </w:r>
            <w:r w:rsidRPr="00D340BA">
              <w:rPr>
                <w:rFonts w:ascii="Times New Roman" w:eastAsia="Times New Roman" w:hAnsi="Times New Roman" w:cs="Times New Roman"/>
                <w:sz w:val="24"/>
                <w:szCs w:val="24"/>
                <w:lang w:eastAsia="lv-LV"/>
              </w:rPr>
              <w:t xml:space="preserve"> izmaksas ir daļēji pamatotas, ir nepieciešama izmaksu pozīciju korekcija.</w:t>
            </w:r>
          </w:p>
        </w:tc>
        <w:tc>
          <w:tcPr>
            <w:tcW w:w="963" w:type="dxa"/>
          </w:tcPr>
          <w:p w14:paraId="600E2A5D"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1F6324" w:rsidRPr="00D340BA" w14:paraId="6DAF2E6B" w14:textId="77777777" w:rsidTr="001F6324">
        <w:trPr>
          <w:trHeight w:val="1226"/>
        </w:trPr>
        <w:tc>
          <w:tcPr>
            <w:tcW w:w="1084" w:type="dxa"/>
            <w:vMerge/>
          </w:tcPr>
          <w:p w14:paraId="28013AD2" w14:textId="77777777" w:rsidR="001F6324" w:rsidRPr="00D340BA" w:rsidRDefault="001F6324" w:rsidP="001F6324">
            <w:pPr>
              <w:numPr>
                <w:ilvl w:val="0"/>
                <w:numId w:val="5"/>
              </w:numPr>
              <w:spacing w:after="0" w:line="240" w:lineRule="auto"/>
              <w:rPr>
                <w:rFonts w:ascii="Times New Roman" w:eastAsia="Times New Roman" w:hAnsi="Times New Roman" w:cs="Times New Roman"/>
                <w:sz w:val="24"/>
                <w:szCs w:val="24"/>
                <w:lang w:eastAsia="lv-LV"/>
              </w:rPr>
            </w:pPr>
          </w:p>
        </w:tc>
        <w:tc>
          <w:tcPr>
            <w:tcW w:w="2336" w:type="dxa"/>
            <w:vMerge/>
            <w:shd w:val="clear" w:color="auto" w:fill="FFFFFF" w:themeFill="background1"/>
          </w:tcPr>
          <w:p w14:paraId="523A42EF"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p>
        </w:tc>
        <w:tc>
          <w:tcPr>
            <w:tcW w:w="4372" w:type="dxa"/>
            <w:shd w:val="clear" w:color="auto" w:fill="FFFFFF" w:themeFill="background1"/>
          </w:tcPr>
          <w:p w14:paraId="2026B0F4"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 xml:space="preserve">Projekta </w:t>
            </w:r>
            <w:r>
              <w:rPr>
                <w:rFonts w:ascii="Times New Roman" w:eastAsia="Times New Roman" w:hAnsi="Times New Roman" w:cs="Times New Roman"/>
                <w:sz w:val="24"/>
                <w:szCs w:val="24"/>
                <w:lang w:eastAsia="lv-LV"/>
              </w:rPr>
              <w:t xml:space="preserve">pieteikuma </w:t>
            </w:r>
            <w:r w:rsidRPr="00D340BA">
              <w:rPr>
                <w:rFonts w:ascii="Times New Roman" w:eastAsia="Times New Roman" w:hAnsi="Times New Roman" w:cs="Times New Roman"/>
                <w:sz w:val="24"/>
                <w:szCs w:val="24"/>
                <w:lang w:eastAsia="lv-LV"/>
              </w:rPr>
              <w:t xml:space="preserve">izmaksas nav pamatotas. Paredzēts veikt aktivitātes vai iegādāties materiālus, kas neatbilst projektu </w:t>
            </w:r>
            <w:r>
              <w:rPr>
                <w:rFonts w:ascii="Times New Roman" w:eastAsia="Times New Roman" w:hAnsi="Times New Roman" w:cs="Times New Roman"/>
                <w:sz w:val="24"/>
                <w:szCs w:val="24"/>
                <w:lang w:eastAsia="lv-LV"/>
              </w:rPr>
              <w:t>K</w:t>
            </w:r>
            <w:r w:rsidRPr="00D340BA">
              <w:rPr>
                <w:rFonts w:ascii="Times New Roman" w:eastAsia="Times New Roman" w:hAnsi="Times New Roman" w:cs="Times New Roman"/>
                <w:sz w:val="24"/>
                <w:szCs w:val="24"/>
                <w:lang w:eastAsia="lv-LV"/>
              </w:rPr>
              <w:t>onkursa mērķim.</w:t>
            </w:r>
          </w:p>
        </w:tc>
        <w:tc>
          <w:tcPr>
            <w:tcW w:w="963" w:type="dxa"/>
          </w:tcPr>
          <w:p w14:paraId="075F4A39" w14:textId="77777777" w:rsidR="001F6324" w:rsidRPr="00D340BA" w:rsidRDefault="001F6324" w:rsidP="001D1D29">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bl>
    <w:p w14:paraId="1613C1E1" w14:textId="77777777" w:rsidR="003C4F1F" w:rsidRDefault="003C4F1F" w:rsidP="001F6324">
      <w:pPr>
        <w:spacing w:after="0" w:line="240" w:lineRule="auto"/>
      </w:pPr>
    </w:p>
    <w:sectPr w:rsidR="003C4F1F" w:rsidSect="001F6324">
      <w:headerReference w:type="default" r:id="rId7"/>
      <w:pgSz w:w="11906" w:h="16838"/>
      <w:pgMar w:top="709"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14F1C" w14:textId="77777777" w:rsidR="00000000" w:rsidRDefault="00075278">
      <w:pPr>
        <w:spacing w:after="0" w:line="240" w:lineRule="auto"/>
      </w:pPr>
      <w:r>
        <w:separator/>
      </w:r>
    </w:p>
  </w:endnote>
  <w:endnote w:type="continuationSeparator" w:id="0">
    <w:p w14:paraId="55278C4C" w14:textId="77777777" w:rsidR="00000000" w:rsidRDefault="0007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6FFEA" w14:textId="77777777" w:rsidR="00000000" w:rsidRDefault="00075278">
      <w:pPr>
        <w:spacing w:after="0" w:line="240" w:lineRule="auto"/>
      </w:pPr>
      <w:r>
        <w:separator/>
      </w:r>
    </w:p>
  </w:footnote>
  <w:footnote w:type="continuationSeparator" w:id="0">
    <w:p w14:paraId="240F3169" w14:textId="77777777" w:rsidR="00000000" w:rsidRDefault="00075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87434"/>
      <w:docPartObj>
        <w:docPartGallery w:val="Page Numbers (Top of Page)"/>
        <w:docPartUnique/>
      </w:docPartObj>
    </w:sdtPr>
    <w:sdtEndPr>
      <w:rPr>
        <w:rFonts w:ascii="Times New Roman" w:hAnsi="Times New Roman" w:cs="Times New Roman"/>
        <w:sz w:val="24"/>
        <w:szCs w:val="24"/>
      </w:rPr>
    </w:sdtEndPr>
    <w:sdtContent>
      <w:p w14:paraId="58FECA39" w14:textId="512FAC0C" w:rsidR="00075278" w:rsidRPr="00075278" w:rsidRDefault="00075278">
        <w:pPr>
          <w:pStyle w:val="Galvene"/>
          <w:jc w:val="center"/>
          <w:rPr>
            <w:rFonts w:ascii="Times New Roman" w:hAnsi="Times New Roman" w:cs="Times New Roman"/>
            <w:sz w:val="24"/>
            <w:szCs w:val="24"/>
          </w:rPr>
        </w:pPr>
        <w:r w:rsidRPr="00075278">
          <w:rPr>
            <w:rFonts w:ascii="Times New Roman" w:hAnsi="Times New Roman" w:cs="Times New Roman"/>
            <w:sz w:val="24"/>
            <w:szCs w:val="24"/>
          </w:rPr>
          <w:fldChar w:fldCharType="begin"/>
        </w:r>
        <w:r w:rsidRPr="00075278">
          <w:rPr>
            <w:rFonts w:ascii="Times New Roman" w:hAnsi="Times New Roman" w:cs="Times New Roman"/>
            <w:sz w:val="24"/>
            <w:szCs w:val="24"/>
          </w:rPr>
          <w:instrText>PAGE   \* MERGEFORMAT</w:instrText>
        </w:r>
        <w:r w:rsidRPr="00075278">
          <w:rPr>
            <w:rFonts w:ascii="Times New Roman" w:hAnsi="Times New Roman" w:cs="Times New Roman"/>
            <w:sz w:val="24"/>
            <w:szCs w:val="24"/>
          </w:rPr>
          <w:fldChar w:fldCharType="separate"/>
        </w:r>
        <w:r>
          <w:rPr>
            <w:rFonts w:ascii="Times New Roman" w:hAnsi="Times New Roman" w:cs="Times New Roman"/>
            <w:noProof/>
            <w:sz w:val="24"/>
            <w:szCs w:val="24"/>
          </w:rPr>
          <w:t>2</w:t>
        </w:r>
        <w:r w:rsidRPr="00075278">
          <w:rPr>
            <w:rFonts w:ascii="Times New Roman" w:hAnsi="Times New Roman" w:cs="Times New Roman"/>
            <w:sz w:val="24"/>
            <w:szCs w:val="24"/>
          </w:rPr>
          <w:fldChar w:fldCharType="end"/>
        </w:r>
      </w:p>
    </w:sdtContent>
  </w:sdt>
  <w:p w14:paraId="16109B68" w14:textId="77777777" w:rsidR="00904C36" w:rsidRDefault="00904C3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A0779"/>
    <w:multiLevelType w:val="hybridMultilevel"/>
    <w:tmpl w:val="A3E872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2646CC"/>
    <w:multiLevelType w:val="hybridMultilevel"/>
    <w:tmpl w:val="86E2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57735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C7875CF"/>
    <w:multiLevelType w:val="hybridMultilevel"/>
    <w:tmpl w:val="AE5C8DD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15:restartNumberingAfterBreak="0">
    <w:nsid w:val="7E1828E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B3"/>
    <w:rsid w:val="000147B3"/>
    <w:rsid w:val="00023161"/>
    <w:rsid w:val="00075278"/>
    <w:rsid w:val="001F6324"/>
    <w:rsid w:val="003C4F1F"/>
    <w:rsid w:val="00904C36"/>
    <w:rsid w:val="00E71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E63E"/>
  <w15:chartTrackingRefBased/>
  <w15:docId w15:val="{2E6886A5-9D39-4C88-BF6E-166C6B0A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6324"/>
    <w:pPr>
      <w:spacing w:after="200" w:line="276" w:lineRule="auto"/>
    </w:pPr>
    <w:rPr>
      <w:kern w:val="0"/>
      <w14:ligatures w14:val="none"/>
    </w:rPr>
  </w:style>
  <w:style w:type="paragraph" w:styleId="Virsraksts1">
    <w:name w:val="heading 1"/>
    <w:basedOn w:val="Parasts"/>
    <w:next w:val="Parasts"/>
    <w:link w:val="Virsraksts1Rakstz"/>
    <w:uiPriority w:val="9"/>
    <w:qFormat/>
    <w:rsid w:val="000147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147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147B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147B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147B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147B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147B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147B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147B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147B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147B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147B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147B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147B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147B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147B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147B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147B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14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147B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147B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147B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147B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147B3"/>
    <w:rPr>
      <w:i/>
      <w:iCs/>
      <w:color w:val="404040" w:themeColor="text1" w:themeTint="BF"/>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147B3"/>
    <w:pPr>
      <w:ind w:left="720"/>
      <w:contextualSpacing/>
    </w:pPr>
  </w:style>
  <w:style w:type="character" w:styleId="Intensvsizclums">
    <w:name w:val="Intense Emphasis"/>
    <w:basedOn w:val="Noklusjumarindkopasfonts"/>
    <w:uiPriority w:val="21"/>
    <w:qFormat/>
    <w:rsid w:val="000147B3"/>
    <w:rPr>
      <w:i/>
      <w:iCs/>
      <w:color w:val="2F5496" w:themeColor="accent1" w:themeShade="BF"/>
    </w:rPr>
  </w:style>
  <w:style w:type="paragraph" w:styleId="Intensvscitts">
    <w:name w:val="Intense Quote"/>
    <w:basedOn w:val="Parasts"/>
    <w:next w:val="Parasts"/>
    <w:link w:val="IntensvscittsRakstz"/>
    <w:uiPriority w:val="30"/>
    <w:qFormat/>
    <w:rsid w:val="00014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147B3"/>
    <w:rPr>
      <w:i/>
      <w:iCs/>
      <w:color w:val="2F5496" w:themeColor="accent1" w:themeShade="BF"/>
    </w:rPr>
  </w:style>
  <w:style w:type="character" w:styleId="Intensvaatsauce">
    <w:name w:val="Intense Reference"/>
    <w:basedOn w:val="Noklusjumarindkopasfonts"/>
    <w:uiPriority w:val="32"/>
    <w:qFormat/>
    <w:rsid w:val="000147B3"/>
    <w:rPr>
      <w:b/>
      <w:bCs/>
      <w:smallCaps/>
      <w:color w:val="2F5496" w:themeColor="accent1" w:themeShade="BF"/>
      <w:spacing w:val="5"/>
    </w:rPr>
  </w:style>
  <w:style w:type="table" w:styleId="Reatabula">
    <w:name w:val="Table Grid"/>
    <w:basedOn w:val="Parastatabula"/>
    <w:uiPriority w:val="59"/>
    <w:rsid w:val="001F63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1F63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1F6324"/>
  </w:style>
  <w:style w:type="paragraph" w:styleId="Galvene">
    <w:name w:val="header"/>
    <w:basedOn w:val="Parasts"/>
    <w:link w:val="GalveneRakstz"/>
    <w:uiPriority w:val="99"/>
    <w:unhideWhenUsed/>
    <w:rsid w:val="001F63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6324"/>
    <w:rPr>
      <w:kern w:val="0"/>
      <w14:ligatures w14:val="none"/>
    </w:rPr>
  </w:style>
  <w:style w:type="paragraph" w:styleId="Kjene">
    <w:name w:val="footer"/>
    <w:basedOn w:val="Parasts"/>
    <w:link w:val="KjeneRakstz"/>
    <w:uiPriority w:val="99"/>
    <w:unhideWhenUsed/>
    <w:rsid w:val="001F632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F632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2589</Words>
  <Characters>1476</Characters>
  <Application>Microsoft Office Word</Application>
  <DocSecurity>0</DocSecurity>
  <Lines>12</Lines>
  <Paragraphs>8</Paragraphs>
  <ScaleCrop>false</ScaleCrop>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Liepiņa</dc:creator>
  <cp:keywords/>
  <dc:description/>
  <cp:lastModifiedBy>Dace Tauriņa</cp:lastModifiedBy>
  <cp:revision>3</cp:revision>
  <dcterms:created xsi:type="dcterms:W3CDTF">2025-02-17T14:04:00Z</dcterms:created>
  <dcterms:modified xsi:type="dcterms:W3CDTF">2025-03-03T11:43:00Z</dcterms:modified>
</cp:coreProperties>
</file>