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CE8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pt-BR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653C48F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1351787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06AABD68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6A3A65">
        <w:rPr>
          <w:rFonts w:ascii="Times New Roman" w:hAnsi="Times New Roman" w:cs="Times New Roman"/>
          <w:b/>
          <w:sz w:val="24"/>
          <w:szCs w:val="24"/>
        </w:rPr>
        <w:t>1</w:t>
      </w:r>
      <w:r w:rsidR="008B2CAB">
        <w:rPr>
          <w:rFonts w:ascii="Times New Roman" w:hAnsi="Times New Roman" w:cs="Times New Roman"/>
          <w:b/>
          <w:sz w:val="24"/>
          <w:szCs w:val="24"/>
        </w:rPr>
        <w:t>7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A65">
        <w:rPr>
          <w:rFonts w:ascii="Times New Roman" w:hAnsi="Times New Roman" w:cs="Times New Roman"/>
          <w:b/>
          <w:sz w:val="24"/>
          <w:szCs w:val="24"/>
        </w:rPr>
        <w:t>aprīļa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206E">
        <w:rPr>
          <w:rFonts w:ascii="Times New Roman" w:hAnsi="Times New Roman" w:cs="Times New Roman"/>
          <w:b/>
          <w:sz w:val="24"/>
          <w:szCs w:val="24"/>
        </w:rPr>
        <w:t>7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05D8F0EC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83A">
        <w:rPr>
          <w:rFonts w:ascii="Times New Roman" w:hAnsi="Times New Roman" w:cs="Times New Roman"/>
          <w:b/>
          <w:sz w:val="24"/>
          <w:szCs w:val="24"/>
        </w:rPr>
        <w:t>714</w:t>
      </w:r>
      <w:r w:rsidR="005B16B2">
        <w:rPr>
          <w:rFonts w:ascii="Times New Roman" w:hAnsi="Times New Roman" w:cs="Times New Roman"/>
          <w:b/>
          <w:sz w:val="24"/>
          <w:szCs w:val="24"/>
        </w:rPr>
        <w:t> </w:t>
      </w:r>
      <w:r w:rsidR="0085483A">
        <w:rPr>
          <w:rFonts w:ascii="Times New Roman" w:hAnsi="Times New Roman" w:cs="Times New Roman"/>
          <w:b/>
          <w:sz w:val="24"/>
          <w:szCs w:val="24"/>
        </w:rPr>
        <w:t>780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85483A" w:rsidRPr="00442612" w14:paraId="35A7E840" w14:textId="77777777" w:rsidTr="00854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52388D77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415 430 €</w:t>
            </w:r>
          </w:p>
        </w:tc>
        <w:tc>
          <w:tcPr>
            <w:tcW w:w="7623" w:type="dxa"/>
            <w:noWrap/>
            <w:vAlign w:val="center"/>
          </w:tcPr>
          <w:p w14:paraId="70CAF863" w14:textId="62A5747B" w:rsidR="0085483A" w:rsidRPr="0085483A" w:rsidRDefault="0085483A" w:rsidP="0085483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Attīstības un projektu nodaļai saņemtā Atveseļošanas fonda avansa iekļaušana budžetā projekta "Alojas Ausekļa vidusskolas infrastruktūras pilnveide un aprīkošana" īstenošanai (Marta domes lēmums Nr.210, protokols Nr.4,59)</w:t>
            </w:r>
          </w:p>
        </w:tc>
      </w:tr>
      <w:tr w:rsidR="0085483A" w:rsidRPr="00442612" w14:paraId="616ABA6B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07804BC1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35 136 €</w:t>
            </w:r>
          </w:p>
        </w:tc>
        <w:tc>
          <w:tcPr>
            <w:tcW w:w="7623" w:type="dxa"/>
            <w:vAlign w:val="center"/>
          </w:tcPr>
          <w:p w14:paraId="72DE9E45" w14:textId="4149DBE3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Alojas apvienības pārvaldes teritorijā</w:t>
            </w:r>
          </w:p>
        </w:tc>
      </w:tr>
      <w:tr w:rsidR="0085483A" w:rsidRPr="00442612" w14:paraId="4DF25822" w14:textId="77777777" w:rsidTr="0085483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371B76D9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4 959 €</w:t>
            </w:r>
          </w:p>
        </w:tc>
        <w:tc>
          <w:tcPr>
            <w:tcW w:w="7623" w:type="dxa"/>
            <w:vAlign w:val="center"/>
          </w:tcPr>
          <w:p w14:paraId="51694113" w14:textId="1C8BBFD2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Compensa Vienna Insurance Group ADB Latvijas filiāle saņemtās apdrošināšanas  atlīdzības iekļaušana Brīvzemnieku pagasta pakalpojumu sniegšanas centra budžetā un finansējuma atgriešana Limbažu novada pašvaldības nesadalītajā atlikumā</w:t>
            </w:r>
          </w:p>
        </w:tc>
      </w:tr>
      <w:tr w:rsidR="0085483A" w:rsidRPr="00442612" w14:paraId="4653978C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735B65F6" w14:textId="48EA9F2F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51 757 €</w:t>
            </w:r>
          </w:p>
        </w:tc>
        <w:tc>
          <w:tcPr>
            <w:tcW w:w="7623" w:type="dxa"/>
            <w:vAlign w:val="center"/>
          </w:tcPr>
          <w:p w14:paraId="14637386" w14:textId="34FA97C7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"Proti un dari"</w:t>
            </w:r>
            <w:r w:rsidR="00450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ES finansējuma iekļaušana Izglītības pārvaldes budžetā</w:t>
            </w:r>
          </w:p>
        </w:tc>
      </w:tr>
      <w:tr w:rsidR="0085483A" w:rsidRPr="00442612" w14:paraId="4A17E779" w14:textId="77777777" w:rsidTr="0085483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138F44C" w14:textId="00625096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4 014 €</w:t>
            </w:r>
          </w:p>
        </w:tc>
        <w:tc>
          <w:tcPr>
            <w:tcW w:w="7623" w:type="dxa"/>
            <w:vAlign w:val="center"/>
          </w:tcPr>
          <w:p w14:paraId="7100E32B" w14:textId="0B00EC03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papildu finansējuma pedagogu tālākizglītības un metodiskā centra funkciju nodrošināšanai iekļaušana Limbažu Valsts ģimnāzijas budžetā</w:t>
            </w:r>
          </w:p>
        </w:tc>
      </w:tr>
      <w:tr w:rsidR="0085483A" w:rsidRPr="00442612" w14:paraId="56459477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87A2D6D" w14:textId="40DFB0AA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595 €</w:t>
            </w:r>
          </w:p>
        </w:tc>
        <w:tc>
          <w:tcPr>
            <w:tcW w:w="7623" w:type="dxa"/>
            <w:vAlign w:val="center"/>
          </w:tcPr>
          <w:p w14:paraId="722D7DF2" w14:textId="4B03A982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kultūrkapitāla fonda projekta saņemtā finansējuma iekļaušana Jāņa Zirņa Staiceles Mūzikas un mākslas skolas budžetā flautas C YAMAHA YFL-222 iegādei</w:t>
            </w:r>
          </w:p>
        </w:tc>
      </w:tr>
      <w:tr w:rsidR="0085483A" w:rsidRPr="00442612" w14:paraId="2A0E3B88" w14:textId="77777777" w:rsidTr="0085483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0F74B2" w14:textId="0E5D45F6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623" w:type="dxa"/>
            <w:vAlign w:val="center"/>
          </w:tcPr>
          <w:p w14:paraId="06FCC495" w14:textId="7341CDA5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Mākslas skolas vecāku līdzmaksājums dalībai Vasaras praksē/nometnē</w:t>
            </w:r>
          </w:p>
        </w:tc>
      </w:tr>
      <w:tr w:rsidR="0085483A" w:rsidRPr="00442612" w14:paraId="349CD15C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E23A46" w14:textId="78558F22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42 164 €</w:t>
            </w:r>
          </w:p>
        </w:tc>
        <w:tc>
          <w:tcPr>
            <w:tcW w:w="7623" w:type="dxa"/>
            <w:vAlign w:val="center"/>
          </w:tcPr>
          <w:p w14:paraId="1CE2672C" w14:textId="18547988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un projektu nodaļai projekta "Viedo pilsētvides tehnoloģiju uzstādīšana Limbažu novadā " īstenošanai</w:t>
            </w:r>
          </w:p>
        </w:tc>
      </w:tr>
      <w:tr w:rsidR="0085483A" w:rsidRPr="00442612" w14:paraId="7C423C4C" w14:textId="77777777" w:rsidTr="0085483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3E94A0" w14:textId="7766D3EF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86 920 €</w:t>
            </w:r>
          </w:p>
        </w:tc>
        <w:tc>
          <w:tcPr>
            <w:tcW w:w="7623" w:type="dxa"/>
            <w:vAlign w:val="center"/>
          </w:tcPr>
          <w:p w14:paraId="51D89112" w14:textId="2053F7F0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un projektu nodaļai projekta "Limbažu novada Speciālās pamatskolas infrastruktūras un mācību vides pilnveide" finansējuma iekļaušana budžetā</w:t>
            </w:r>
          </w:p>
        </w:tc>
      </w:tr>
      <w:tr w:rsidR="0085483A" w:rsidRPr="00442612" w14:paraId="69DF36B4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EF6F6F8" w14:textId="4E8C7628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4 000 €</w:t>
            </w:r>
          </w:p>
        </w:tc>
        <w:tc>
          <w:tcPr>
            <w:tcW w:w="7623" w:type="dxa"/>
            <w:vAlign w:val="center"/>
          </w:tcPr>
          <w:p w14:paraId="136D799D" w14:textId="5D8BBA1A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kultūrkapitāla fonda projekta "17.gs mantu lādes restaurācija" saņemtā finansējuma iekļaušana Limbažu muzeja budžetā</w:t>
            </w:r>
          </w:p>
        </w:tc>
      </w:tr>
      <w:tr w:rsidR="0085483A" w:rsidRPr="00442612" w14:paraId="012E3456" w14:textId="77777777" w:rsidTr="0085483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1AF1F93" w14:textId="2969A9A8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1 200 €</w:t>
            </w:r>
          </w:p>
        </w:tc>
        <w:tc>
          <w:tcPr>
            <w:tcW w:w="7623" w:type="dxa"/>
            <w:vAlign w:val="center"/>
          </w:tcPr>
          <w:p w14:paraId="565B21D8" w14:textId="4DDEAB92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kultūrkapitāla fonda projekta "Kad runā grāmata..." saņemtā finansējuma iekļaušana Limbažu novada Galvenās bibliotēkas budžetā</w:t>
            </w:r>
          </w:p>
        </w:tc>
      </w:tr>
      <w:tr w:rsidR="0085483A" w:rsidRPr="00442612" w14:paraId="04E33C5C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9923ACA" w14:textId="35A38977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22 644 €</w:t>
            </w:r>
          </w:p>
        </w:tc>
        <w:tc>
          <w:tcPr>
            <w:tcW w:w="7623" w:type="dxa"/>
            <w:vAlign w:val="center"/>
          </w:tcPr>
          <w:p w14:paraId="29E658A3" w14:textId="0EC3DE27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 NVA finansējuma pasākuma "Skolēnu vasaras nodarbinātība 2025.gada vasarā " iekļaušana Limbažu apvienības pārvaldes, Limbažu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Galvenās bibliotēkas, Alojas kultūras nama, Limbažu pagasta sabiedriskā centra "Lādes Vītoli", Limbažu muzeja, Lādezera pamatskolas</w:t>
            </w:r>
            <w:r w:rsidR="00450C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Vidrižu pamatskolas, Limbažu pilsētas 2.pirmsskolas izglītības iestādes "Kāpēcītis", Skultes PII "Aģupīte", PII "Vilnītis, Salacgrīvas vidusskolas, Alojas apvienības pārvaldes, Limbažu novada pašvaldības aģentūras "LAUTA", Limbažu kultūras nama budžetos</w:t>
            </w:r>
          </w:p>
        </w:tc>
      </w:tr>
      <w:tr w:rsidR="0085483A" w:rsidRPr="00442612" w14:paraId="7D6EDFF2" w14:textId="77777777" w:rsidTr="0085483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78304AC" w14:textId="13D1A72E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25 239 €</w:t>
            </w:r>
          </w:p>
        </w:tc>
        <w:tc>
          <w:tcPr>
            <w:tcW w:w="7623" w:type="dxa"/>
            <w:vAlign w:val="center"/>
          </w:tcPr>
          <w:p w14:paraId="38570530" w14:textId="7BE922F7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Dokumentu pārvaldības un klientu apkalpošanas nodaļai saņemtā Atveseļošanās fonda finansējuma iekļaušana budžetā</w:t>
            </w:r>
          </w:p>
        </w:tc>
      </w:tr>
      <w:tr w:rsidR="0085483A" w:rsidRPr="00442612" w14:paraId="02CD5A3F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6DB6244" w14:textId="4B671193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15 722 €</w:t>
            </w:r>
          </w:p>
        </w:tc>
        <w:tc>
          <w:tcPr>
            <w:tcW w:w="7623" w:type="dxa"/>
            <w:vAlign w:val="center"/>
          </w:tcPr>
          <w:p w14:paraId="195591F6" w14:textId="2C5E4951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dotācija valsts un pašvaldību vienoto klientu apkalpošanas centru uzturēšanai un publisko pakalpojumu sistēmas pilnveidei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79CA81B3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377F">
        <w:rPr>
          <w:rFonts w:ascii="Times New Roman" w:hAnsi="Times New Roman" w:cs="Times New Roman"/>
          <w:b/>
          <w:sz w:val="24"/>
          <w:szCs w:val="24"/>
        </w:rPr>
        <w:t>2</w:t>
      </w:r>
      <w:r w:rsidR="008B2CAB" w:rsidRPr="00417ED0">
        <w:rPr>
          <w:rFonts w:ascii="Times New Roman" w:hAnsi="Times New Roman" w:cs="Times New Roman"/>
          <w:b/>
          <w:sz w:val="24"/>
          <w:szCs w:val="24"/>
        </w:rPr>
        <w:t> </w:t>
      </w:r>
      <w:r w:rsidR="0085483A">
        <w:rPr>
          <w:rFonts w:ascii="Times New Roman" w:hAnsi="Times New Roman" w:cs="Times New Roman"/>
          <w:b/>
          <w:sz w:val="24"/>
          <w:szCs w:val="24"/>
        </w:rPr>
        <w:t>095</w:t>
      </w:r>
      <w:r w:rsidR="008B2CAB" w:rsidRPr="00417ED0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85483A">
        <w:rPr>
          <w:rFonts w:ascii="Times New Roman" w:hAnsi="Times New Roman" w:cs="Times New Roman"/>
          <w:b/>
          <w:sz w:val="24"/>
          <w:szCs w:val="24"/>
        </w:rPr>
        <w:t>83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85483A" w:rsidRPr="00417ED0" w14:paraId="3449D8CD" w14:textId="77777777" w:rsidTr="00854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0138A682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415 430 €</w:t>
            </w:r>
          </w:p>
        </w:tc>
        <w:tc>
          <w:tcPr>
            <w:tcW w:w="7876" w:type="dxa"/>
            <w:vAlign w:val="center"/>
          </w:tcPr>
          <w:p w14:paraId="23594F74" w14:textId="42826E3E" w:rsidR="0085483A" w:rsidRPr="0085483A" w:rsidRDefault="0085483A" w:rsidP="0085483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Attīstības un projektu nodaļai saņemtā Atveseļošanas fonda avansa iekļaušana budžetā projekta "Alojas Ausekļa vidusskolas infrastruktūras pilnveide un aprīkošana" īstenošanai (Marta domes lēmums Nr.210, protokols Nr.4,59)</w:t>
            </w:r>
          </w:p>
        </w:tc>
      </w:tr>
      <w:tr w:rsidR="0085483A" w:rsidRPr="00417ED0" w14:paraId="0AF7427D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5D72E58C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1 401 647 €</w:t>
            </w:r>
          </w:p>
        </w:tc>
        <w:tc>
          <w:tcPr>
            <w:tcW w:w="7876" w:type="dxa"/>
            <w:vAlign w:val="center"/>
          </w:tcPr>
          <w:p w14:paraId="2C2B0F50" w14:textId="519AADC4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Aizņēmums Valsts kasē projekta "Alojas Ausekļa vidusskolas infrastruktūras pilnveide un aprīkošana" īstenošanai (Marta domes lēmums Nr.210, protokols Nr.4,59)</w:t>
            </w:r>
          </w:p>
        </w:tc>
      </w:tr>
      <w:tr w:rsidR="0085483A" w:rsidRPr="00417ED0" w14:paraId="35A0210A" w14:textId="77777777" w:rsidTr="0085483A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0B07E07E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3 065 €</w:t>
            </w:r>
          </w:p>
        </w:tc>
        <w:tc>
          <w:tcPr>
            <w:tcW w:w="7876" w:type="dxa"/>
            <w:vAlign w:val="center"/>
          </w:tcPr>
          <w:p w14:paraId="04AB2B13" w14:textId="11DFFF9D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Sociālajam dienestam papildus finansējums par profesionālās kompetences pil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veidi (Supervīzijas)</w:t>
            </w:r>
          </w:p>
        </w:tc>
      </w:tr>
      <w:tr w:rsidR="0085483A" w:rsidRPr="00417ED0" w14:paraId="0A01A084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415E915A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2 093 €</w:t>
            </w:r>
          </w:p>
        </w:tc>
        <w:tc>
          <w:tcPr>
            <w:tcW w:w="7876" w:type="dxa"/>
            <w:vAlign w:val="center"/>
          </w:tcPr>
          <w:p w14:paraId="01072420" w14:textId="177628FD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Līdzfinansējums projekta "Aktīvās atpūtas tūrisma infrastruktūras pilnveidošana Limbažu novada Vidzemes piekrastē" īstenošanai</w:t>
            </w:r>
          </w:p>
        </w:tc>
      </w:tr>
      <w:tr w:rsidR="0085483A" w:rsidRPr="00417ED0" w14:paraId="09A4BB98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2D568C61" w:rsidR="0085483A" w:rsidRPr="0085483A" w:rsidRDefault="0085483A" w:rsidP="0085483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2 735 €</w:t>
            </w:r>
          </w:p>
        </w:tc>
        <w:tc>
          <w:tcPr>
            <w:tcW w:w="7876" w:type="dxa"/>
            <w:vAlign w:val="center"/>
          </w:tcPr>
          <w:p w14:paraId="384D5438" w14:textId="0102C2A8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starpsienas izbūvei Cēsu ielā 22, Limbažos</w:t>
            </w:r>
          </w:p>
        </w:tc>
      </w:tr>
      <w:tr w:rsidR="0085483A" w:rsidRPr="00417ED0" w14:paraId="207B43F2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7D77287" w14:textId="725EA97A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9 385 €</w:t>
            </w:r>
          </w:p>
        </w:tc>
        <w:tc>
          <w:tcPr>
            <w:tcW w:w="7876" w:type="dxa"/>
            <w:vAlign w:val="center"/>
          </w:tcPr>
          <w:p w14:paraId="6F516421" w14:textId="27F49102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Staiceles pilsētas un pagasta pakalpojumu sniegšanas centram bērnu rotaļu laukuma atjaunošanai Parka ielā 2, Staicelē</w:t>
            </w:r>
          </w:p>
        </w:tc>
      </w:tr>
      <w:tr w:rsidR="0085483A" w:rsidRPr="00417ED0" w14:paraId="27FAECB2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923E65D" w14:textId="5D2C631E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4 000 €</w:t>
            </w:r>
          </w:p>
        </w:tc>
        <w:tc>
          <w:tcPr>
            <w:tcW w:w="7876" w:type="dxa"/>
            <w:vAlign w:val="center"/>
          </w:tcPr>
          <w:p w14:paraId="714966D5" w14:textId="7BC07FF6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pirmsskolas izglītības iestādei "Auseklītis" Vilzēnu filiāles jumta remontam</w:t>
            </w:r>
          </w:p>
        </w:tc>
      </w:tr>
      <w:tr w:rsidR="0085483A" w:rsidRPr="00417ED0" w14:paraId="6D57A83F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2D76071" w14:textId="522B4125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4 183 €</w:t>
            </w:r>
          </w:p>
        </w:tc>
        <w:tc>
          <w:tcPr>
            <w:tcW w:w="7876" w:type="dxa"/>
            <w:vAlign w:val="center"/>
          </w:tcPr>
          <w:p w14:paraId="0B9BA6B8" w14:textId="6C3F6F6C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sz w:val="24"/>
                <w:szCs w:val="24"/>
              </w:rPr>
              <w:t>Alojas apvienības pārvaldei Alojas pilsētas video novērošanas sistēmas montāžai</w:t>
            </w:r>
          </w:p>
        </w:tc>
      </w:tr>
      <w:tr w:rsidR="0085483A" w:rsidRPr="00417ED0" w14:paraId="1D2A6DDD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4E7BD92" w14:textId="1D97B741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51 757 €</w:t>
            </w:r>
          </w:p>
        </w:tc>
        <w:tc>
          <w:tcPr>
            <w:tcW w:w="7876" w:type="dxa"/>
            <w:vAlign w:val="center"/>
          </w:tcPr>
          <w:p w14:paraId="19604457" w14:textId="595DDEC9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"Proti un dari"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ES finansējuma iekļaušana Izglītības pārvaldes budžetā</w:t>
            </w:r>
          </w:p>
        </w:tc>
      </w:tr>
      <w:tr w:rsidR="0085483A" w:rsidRPr="00417ED0" w14:paraId="09180589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5D85BD9" w14:textId="0F3114C7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4 014 €</w:t>
            </w:r>
          </w:p>
        </w:tc>
        <w:tc>
          <w:tcPr>
            <w:tcW w:w="7876" w:type="dxa"/>
            <w:vAlign w:val="center"/>
          </w:tcPr>
          <w:p w14:paraId="78484F52" w14:textId="2D79571B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papildu finansējuma pedagogu tālākizglītības un metodiskā centra funkciju nodrošināšanai iekļaušana Limbažu Valsts ģimnāzijas budžetā</w:t>
            </w:r>
          </w:p>
        </w:tc>
      </w:tr>
      <w:tr w:rsidR="0085483A" w:rsidRPr="00417ED0" w14:paraId="65DE2E89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7AF26DA" w14:textId="625911B0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595 €</w:t>
            </w:r>
          </w:p>
        </w:tc>
        <w:tc>
          <w:tcPr>
            <w:tcW w:w="7876" w:type="dxa"/>
            <w:vAlign w:val="center"/>
          </w:tcPr>
          <w:p w14:paraId="65721D62" w14:textId="244E7769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kultūrkapitāla fonda projekta saņemtā finansējuma iekļaušana Jāņa Zirņa Staiceles Mūzikas un mākslas skolas budžetā flautas C YAMAHA YFL-222 iegādei</w:t>
            </w:r>
          </w:p>
        </w:tc>
      </w:tr>
      <w:tr w:rsidR="0085483A" w:rsidRPr="00417ED0" w14:paraId="27AFC5C3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ED66555" w14:textId="77132728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876" w:type="dxa"/>
            <w:vAlign w:val="center"/>
          </w:tcPr>
          <w:p w14:paraId="71FA3AD4" w14:textId="68494653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Mākslas skolas vecāku līdzmaksājums dalībai Vasaras praksē/nometnē</w:t>
            </w:r>
          </w:p>
        </w:tc>
      </w:tr>
      <w:tr w:rsidR="0085483A" w:rsidRPr="00417ED0" w14:paraId="6C968142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1E9BAE8" w14:textId="7A536899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2 757 €</w:t>
            </w:r>
          </w:p>
        </w:tc>
        <w:tc>
          <w:tcPr>
            <w:tcW w:w="7876" w:type="dxa"/>
            <w:vAlign w:val="center"/>
          </w:tcPr>
          <w:p w14:paraId="4EB40E54" w14:textId="1513D448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Vidrižu pamatskolai apkures sistēmas 2 (divu) cirkulācijas sūkņu ārkārtas nomaiņai</w:t>
            </w:r>
          </w:p>
        </w:tc>
      </w:tr>
      <w:tr w:rsidR="0085483A" w:rsidRPr="00417ED0" w14:paraId="0A305369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9E00A87" w14:textId="0517C16C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2 311 €</w:t>
            </w:r>
          </w:p>
        </w:tc>
        <w:tc>
          <w:tcPr>
            <w:tcW w:w="7876" w:type="dxa"/>
            <w:vAlign w:val="center"/>
          </w:tcPr>
          <w:p w14:paraId="4300A114" w14:textId="591B3A9B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pilsētas 2. pirmsskolas izglītības iestādei "Kāpēcītis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video novērošanas sistēmas ierīkošanai</w:t>
            </w:r>
          </w:p>
        </w:tc>
      </w:tr>
      <w:tr w:rsidR="0085483A" w:rsidRPr="00417ED0" w14:paraId="38DBC527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3D619E7" w14:textId="44AC4DEE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60 657 €</w:t>
            </w:r>
          </w:p>
        </w:tc>
        <w:tc>
          <w:tcPr>
            <w:tcW w:w="7876" w:type="dxa"/>
            <w:vAlign w:val="center"/>
          </w:tcPr>
          <w:p w14:paraId="47AC523D" w14:textId="2B079120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un projektu nodaļai projekta "Viedo pilsētvides tehnoloģiju uzstādīšana Limbažu novadā " īstenošanai</w:t>
            </w:r>
          </w:p>
        </w:tc>
      </w:tr>
      <w:tr w:rsidR="0085483A" w:rsidRPr="00417ED0" w14:paraId="435FCB39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361BCB6" w14:textId="41D0CBE3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22 489 €</w:t>
            </w:r>
          </w:p>
        </w:tc>
        <w:tc>
          <w:tcPr>
            <w:tcW w:w="7876" w:type="dxa"/>
            <w:vAlign w:val="center"/>
          </w:tcPr>
          <w:p w14:paraId="17917C71" w14:textId="04A4348A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un projektu nodaļai projekta "Atpūtas vietas izveide Skultes pagasta Mandegās"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īstenošanai</w:t>
            </w:r>
          </w:p>
        </w:tc>
      </w:tr>
      <w:tr w:rsidR="0085483A" w:rsidRPr="00417ED0" w14:paraId="6F55189C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A2B086C" w14:textId="37E74AC0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86 920 €</w:t>
            </w:r>
          </w:p>
        </w:tc>
        <w:tc>
          <w:tcPr>
            <w:tcW w:w="7876" w:type="dxa"/>
            <w:vAlign w:val="center"/>
          </w:tcPr>
          <w:p w14:paraId="5FEF030E" w14:textId="0391C21F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un projektu nodaļai projekta "Limbažu novada Speciālās pamatskolas infrastruktūras un mācību vides pilnveide" finansējuma iekļaušana budžetā</w:t>
            </w:r>
          </w:p>
        </w:tc>
      </w:tr>
      <w:tr w:rsidR="0085483A" w:rsidRPr="00417ED0" w14:paraId="267EC6AE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28F9BF9" w14:textId="01C9F589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4 000 €</w:t>
            </w:r>
          </w:p>
        </w:tc>
        <w:tc>
          <w:tcPr>
            <w:tcW w:w="7876" w:type="dxa"/>
            <w:vAlign w:val="center"/>
          </w:tcPr>
          <w:p w14:paraId="2A5F564E" w14:textId="2BEC45ED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kultūrkapitāla fonda projekta "17.gs mantu lādes restaurācija" saņemtā finansējuma iekļaušana Limbažu muzeja budžetā</w:t>
            </w:r>
          </w:p>
        </w:tc>
      </w:tr>
      <w:tr w:rsidR="0085483A" w:rsidRPr="00417ED0" w14:paraId="0A291156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0C5385D" w14:textId="32966077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1 200 €</w:t>
            </w:r>
          </w:p>
        </w:tc>
        <w:tc>
          <w:tcPr>
            <w:tcW w:w="7876" w:type="dxa"/>
            <w:vAlign w:val="center"/>
          </w:tcPr>
          <w:p w14:paraId="49101CAE" w14:textId="100C5E7A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kultūrkapitāla fonda projekta "Kad runā grāmata..." saņemtā finansējuma iekļaušana Limbažu novada Galvenās bibliotēkas budžetā</w:t>
            </w:r>
          </w:p>
        </w:tc>
      </w:tr>
      <w:tr w:rsidR="0085483A" w:rsidRPr="00417ED0" w14:paraId="23F307E9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BF76605" w14:textId="5F6E3F3A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22 644 €</w:t>
            </w:r>
          </w:p>
        </w:tc>
        <w:tc>
          <w:tcPr>
            <w:tcW w:w="7876" w:type="dxa"/>
            <w:vAlign w:val="center"/>
          </w:tcPr>
          <w:p w14:paraId="7D11839D" w14:textId="1409F9B8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NVA finansējuma pasākuma "Skolēnu vasaras nodarbinātība 2025.gada vasarā " iekļaušana Limbažu apvienības pārvaldes, Limbažu Galvenās bibliotēkas, Alojas kultūras nama, Limbažu pagasta sabiedriskā centra "Lādes Vītoli", Limbažu muzeja, Lādezera pamatskolas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Vidrižu pamatskolas, Limbažu pilsētas 2.pirmsskolas izglītības iestādes "Kāpēcītis", Skultes PII "Aģupīte", PII "Vilnītis, Salacgrīvas vidusskolas, Alojas apvienības pārvaldes, Limbažu novada pašvaldības aģentūras "LAUTA", Limbažu kultūras nama, SAC-pansionāta "Pērle" budžetos</w:t>
            </w:r>
          </w:p>
        </w:tc>
      </w:tr>
      <w:tr w:rsidR="0085483A" w:rsidRPr="00417ED0" w14:paraId="42FD4090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90AA213" w14:textId="7B4BAA60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27 078 €</w:t>
            </w:r>
          </w:p>
        </w:tc>
        <w:tc>
          <w:tcPr>
            <w:tcW w:w="7876" w:type="dxa"/>
            <w:vAlign w:val="center"/>
          </w:tcPr>
          <w:p w14:paraId="67F87DC1" w14:textId="56124491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Pašvaldības līdzfinansējuma piešķiršana pasākuma "Skolēnu vasaras nodarbinātība 2025.gada vasarā " īstenošanai Limbažu apvienības pārvaldes, Limbažu Galvenās bibliotēkas, Alojas kultūras nama, Limbažu pagasta sabiedriskā centra "Lādes Vītoli", Limbažu muzeja, Lādezera pamatskolas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Vidrižu pamatskolas, Limbažu pilsētas 2.pirmsskolas izglītības iestādes "Kāpēcītis", Skultes PII "Aģupīte", PII "Vilnītis, Salacgrīvas vidusskolas, Alojas apvienības pārvaldes, Limbažu novada pašvaldības aģentūras "LAUTA", Limbažu kultūras nama budžetos</w:t>
            </w:r>
          </w:p>
        </w:tc>
      </w:tr>
      <w:tr w:rsidR="0085483A" w:rsidRPr="00417ED0" w14:paraId="474F2848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3A1FB8" w14:textId="077C6C8C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1 400 €</w:t>
            </w:r>
          </w:p>
        </w:tc>
        <w:tc>
          <w:tcPr>
            <w:tcW w:w="7876" w:type="dxa"/>
            <w:vAlign w:val="center"/>
          </w:tcPr>
          <w:p w14:paraId="69DFBC7E" w14:textId="41E35DDD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Dokumentu pārvaldības un klientu apkalpošanas nodaļai COVID testu iznīcināšanai</w:t>
            </w:r>
          </w:p>
        </w:tc>
      </w:tr>
      <w:tr w:rsidR="0085483A" w:rsidRPr="00417ED0" w14:paraId="2087C184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E0DFE56" w14:textId="4888008A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36 055 €</w:t>
            </w:r>
          </w:p>
        </w:tc>
        <w:tc>
          <w:tcPr>
            <w:tcW w:w="7876" w:type="dxa"/>
            <w:vAlign w:val="center"/>
          </w:tcPr>
          <w:p w14:paraId="49E2E569" w14:textId="46CD654A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Dokumentu pārvaldības un klientu apkalpošanas nodaļai saņemtā Atveseļošanās fonda finansējuma iekļaušana budžetā un līdzfinansējuma piešķiršana</w:t>
            </w:r>
          </w:p>
        </w:tc>
      </w:tr>
      <w:tr w:rsidR="0085483A" w:rsidRPr="00417ED0" w14:paraId="0455289A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405FF2D" w14:textId="4D85325C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3 515 €</w:t>
            </w:r>
          </w:p>
        </w:tc>
        <w:tc>
          <w:tcPr>
            <w:tcW w:w="7876" w:type="dxa"/>
            <w:vAlign w:val="center"/>
          </w:tcPr>
          <w:p w14:paraId="051B533E" w14:textId="16FF5FFE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papildus finansējums pašvaldībai piederošo dzīvokļu īrnieku neatgūstamo parādu segšanai</w:t>
            </w:r>
          </w:p>
        </w:tc>
      </w:tr>
      <w:tr w:rsidR="0085483A" w:rsidRPr="00417ED0" w14:paraId="1B1B8ADD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DAD4ADB" w14:textId="6807456F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3 500 €</w:t>
            </w:r>
          </w:p>
        </w:tc>
        <w:tc>
          <w:tcPr>
            <w:tcW w:w="7876" w:type="dxa"/>
            <w:vAlign w:val="center"/>
          </w:tcPr>
          <w:p w14:paraId="7C1DB7A7" w14:textId="00B20896" w:rsidR="0085483A" w:rsidRPr="0085483A" w:rsidRDefault="0085483A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tehniskā nodrošinājuma izveidei pie Baumaņu Kārā pieminekļa- audiovizuālā materiāla atskaņošanai</w:t>
            </w:r>
          </w:p>
        </w:tc>
      </w:tr>
      <w:tr w:rsidR="0085483A" w:rsidRPr="00417ED0" w14:paraId="543B941A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FCDD3D3" w14:textId="5F77CC28" w:rsidR="0085483A" w:rsidRPr="0085483A" w:rsidRDefault="0085483A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9 720 €</w:t>
            </w:r>
          </w:p>
        </w:tc>
        <w:tc>
          <w:tcPr>
            <w:tcW w:w="7876" w:type="dxa"/>
            <w:vAlign w:val="center"/>
          </w:tcPr>
          <w:p w14:paraId="164445EF" w14:textId="23887A92" w:rsidR="0085483A" w:rsidRPr="0085483A" w:rsidRDefault="0085483A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dotācija valsts un pašvaldību vienoto klientu apkalpošanas centru uzturēšanai un publisko pakalpojumu sistēmas pilnveidei</w:t>
            </w:r>
          </w:p>
        </w:tc>
      </w:tr>
      <w:tr w:rsidR="00F9377F" w:rsidRPr="00417ED0" w14:paraId="024BF0CE" w14:textId="77777777" w:rsidTr="0085483A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F9E64E6" w14:textId="2E4BE5CA" w:rsidR="00F9377F" w:rsidRPr="00F9377F" w:rsidRDefault="00F9377F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76" w:type="dxa"/>
            <w:vAlign w:val="center"/>
          </w:tcPr>
          <w:p w14:paraId="3A91B14F" w14:textId="410D1783" w:rsidR="00F9377F" w:rsidRPr="00F9377F" w:rsidRDefault="00F9377F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FF2" w:rsidRPr="00417ED0" w14:paraId="0F389CD0" w14:textId="77777777" w:rsidTr="00854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5FA1B7C" w14:textId="77777777" w:rsidR="00711FF2" w:rsidRPr="00F9377F" w:rsidRDefault="00711FF2" w:rsidP="008548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6" w:type="dxa"/>
            <w:vAlign w:val="center"/>
          </w:tcPr>
          <w:p w14:paraId="16FD51D2" w14:textId="77777777" w:rsidR="00711FF2" w:rsidRPr="00F9377F" w:rsidRDefault="00711FF2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FF2" w:rsidRPr="00417ED0" w14:paraId="63B30B80" w14:textId="77777777" w:rsidTr="0085483A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BDD0AC1" w14:textId="4BD4B4FD" w:rsidR="00711FF2" w:rsidRPr="00711FF2" w:rsidRDefault="00711FF2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   </w:t>
            </w:r>
            <w:r w:rsid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92 667</w:t>
            </w: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7876" w:type="dxa"/>
            <w:vAlign w:val="center"/>
          </w:tcPr>
          <w:p w14:paraId="79F26900" w14:textId="00B6FCB9" w:rsidR="00711FF2" w:rsidRPr="00F9377F" w:rsidRDefault="00711FF2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7827F1D" w14:textId="22074469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8475D" w14:textId="77777777" w:rsidR="00A13695" w:rsidRDefault="00A136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619ACCF" w14:textId="7348925D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Pamatbudžeta grozījumi:</w:t>
      </w:r>
    </w:p>
    <w:p w14:paraId="79EE0C41" w14:textId="77777777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7864"/>
      </w:tblGrid>
      <w:tr w:rsidR="00A13695" w:rsidRPr="00A13695" w14:paraId="5D78CFC3" w14:textId="77777777" w:rsidTr="00A13695">
        <w:trPr>
          <w:trHeight w:val="1290"/>
        </w:trPr>
        <w:tc>
          <w:tcPr>
            <w:tcW w:w="1596" w:type="dxa"/>
            <w:shd w:val="clear" w:color="auto" w:fill="auto"/>
            <w:noWrap/>
            <w:vAlign w:val="center"/>
            <w:hideMark/>
          </w:tcPr>
          <w:p w14:paraId="34766451" w14:textId="78685A2B" w:rsidR="00A13695" w:rsidRPr="00A13695" w:rsidRDefault="00A13695" w:rsidP="00A136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1369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13 485 €</w:t>
            </w:r>
          </w:p>
        </w:tc>
        <w:tc>
          <w:tcPr>
            <w:tcW w:w="7864" w:type="dxa"/>
            <w:shd w:val="clear" w:color="auto" w:fill="auto"/>
            <w:vAlign w:val="center"/>
            <w:hideMark/>
          </w:tcPr>
          <w:p w14:paraId="3CF3510A" w14:textId="32292776" w:rsidR="00A13695" w:rsidRPr="00A13695" w:rsidRDefault="00A13695" w:rsidP="00A13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A13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Izglītības pārvaldes budžeta novirzīts izglītības iestādēm interešu izglītības iestāžu pedagogu darba samaksai un valsts sociālās apdrošināšanas obligātajām iemaksām laika periodam no 2025.gada 1.janvāra līdz 2025.gada 31.augustam</w:t>
            </w:r>
          </w:p>
        </w:tc>
      </w:tr>
    </w:tbl>
    <w:p w14:paraId="173D75CD" w14:textId="77777777" w:rsidR="00A13695" w:rsidRDefault="00A13695" w:rsidP="00A13695">
      <w:pPr>
        <w:rPr>
          <w:rFonts w:ascii="Times New Roman" w:hAnsi="Times New Roman" w:cs="Times New Roman"/>
          <w:b/>
          <w:sz w:val="24"/>
          <w:szCs w:val="24"/>
        </w:rPr>
      </w:pPr>
    </w:p>
    <w:p w14:paraId="55AEB59F" w14:textId="77777777" w:rsidR="00A13695" w:rsidRDefault="00A13695" w:rsidP="00A13695">
      <w:pPr>
        <w:rPr>
          <w:rFonts w:ascii="Times New Roman" w:hAnsi="Times New Roman" w:cs="Times New Roman"/>
          <w:b/>
          <w:sz w:val="24"/>
          <w:szCs w:val="24"/>
        </w:rPr>
      </w:pPr>
    </w:p>
    <w:p w14:paraId="2BEA04BD" w14:textId="364257FF" w:rsidR="00BA355D" w:rsidRDefault="00A13695" w:rsidP="00A13695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BA355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BA355D">
        <w:rPr>
          <w:rFonts w:ascii="Times New Roman" w:hAnsi="Times New Roman" w:cs="Times New Roman"/>
          <w:b/>
          <w:sz w:val="24"/>
          <w:szCs w:val="24"/>
        </w:rPr>
        <w:t>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 w:rsidR="00BA3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83A">
        <w:rPr>
          <w:rFonts w:ascii="Times New Roman" w:hAnsi="Times New Roman" w:cs="Times New Roman"/>
          <w:b/>
          <w:sz w:val="24"/>
          <w:szCs w:val="24"/>
        </w:rPr>
        <w:t>96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83A">
        <w:rPr>
          <w:rFonts w:ascii="Times New Roman" w:hAnsi="Times New Roman" w:cs="Times New Roman"/>
          <w:b/>
          <w:sz w:val="24"/>
          <w:szCs w:val="24"/>
        </w:rPr>
        <w:t>512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355D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</w:p>
    <w:p w14:paraId="7D9A90DF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1B1F7524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2D5">
        <w:rPr>
          <w:rFonts w:ascii="Times New Roman" w:hAnsi="Times New Roman" w:cs="Times New Roman"/>
          <w:b/>
          <w:sz w:val="24"/>
          <w:szCs w:val="24"/>
        </w:rPr>
        <w:t>1 </w:t>
      </w:r>
      <w:r w:rsidR="0085483A">
        <w:rPr>
          <w:rFonts w:ascii="Times New Roman" w:hAnsi="Times New Roman" w:cs="Times New Roman"/>
          <w:b/>
          <w:sz w:val="24"/>
          <w:szCs w:val="24"/>
        </w:rPr>
        <w:t>380</w:t>
      </w:r>
      <w:r w:rsidR="001852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483A">
        <w:rPr>
          <w:rFonts w:ascii="Times New Roman" w:hAnsi="Times New Roman" w:cs="Times New Roman"/>
          <w:b/>
          <w:sz w:val="24"/>
          <w:szCs w:val="24"/>
        </w:rPr>
        <w:t>703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3E2C4EBB" w14:textId="77777777" w:rsidR="00A13695" w:rsidRDefault="00A1369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3AB97768" w:rsidR="00961BC4" w:rsidRPr="00502954" w:rsidRDefault="0085483A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39</w:t>
            </w:r>
            <w:r w:rsidR="001852D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36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A1FE1" w14:textId="77777777" w:rsidR="00454F6E" w:rsidRDefault="00454F6E" w:rsidP="00A86842">
      <w:pPr>
        <w:spacing w:after="0" w:line="240" w:lineRule="auto"/>
      </w:pPr>
      <w:r>
        <w:separator/>
      </w:r>
    </w:p>
  </w:endnote>
  <w:endnote w:type="continuationSeparator" w:id="0">
    <w:p w14:paraId="087E40A7" w14:textId="77777777" w:rsidR="00454F6E" w:rsidRDefault="00454F6E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C88CB" w14:textId="77777777" w:rsidR="00454F6E" w:rsidRDefault="00454F6E" w:rsidP="00A86842">
      <w:pPr>
        <w:spacing w:after="0" w:line="240" w:lineRule="auto"/>
      </w:pPr>
      <w:r>
        <w:separator/>
      </w:r>
    </w:p>
  </w:footnote>
  <w:footnote w:type="continuationSeparator" w:id="0">
    <w:p w14:paraId="52E3B34D" w14:textId="77777777" w:rsidR="00454F6E" w:rsidRDefault="00454F6E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330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C8328A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ttēls 327319243" o:spid="_x0000_i1025" type="#_x0000_t75" style="width:422.25pt;height:451.5pt;visibility:visible;mso-wrap-style:square">
            <v:imagedata r:id="rId1" o:title=""/>
          </v:shape>
        </w:pict>
      </mc:Choice>
      <mc:Fallback>
        <w:drawing>
          <wp:inline distT="0" distB="0" distL="0" distR="0" wp14:anchorId="4EF4D748" wp14:editId="4EF4D749">
            <wp:extent cx="5362575" cy="5734050"/>
            <wp:effectExtent l="0" t="0" r="0" b="0"/>
            <wp:docPr id="327319243" name="Attēls 327319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70CFD"/>
    <w:multiLevelType w:val="hybridMultilevel"/>
    <w:tmpl w:val="044638B8"/>
    <w:lvl w:ilvl="0" w:tplc="8416E7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4743"/>
    <w:multiLevelType w:val="hybridMultilevel"/>
    <w:tmpl w:val="3FA40202"/>
    <w:lvl w:ilvl="0" w:tplc="1E08596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968BD"/>
    <w:multiLevelType w:val="hybridMultilevel"/>
    <w:tmpl w:val="324A8DE6"/>
    <w:lvl w:ilvl="0" w:tplc="EFD8F5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504889">
    <w:abstractNumId w:val="1"/>
  </w:num>
  <w:num w:numId="2" w16cid:durableId="1269388172">
    <w:abstractNumId w:val="14"/>
  </w:num>
  <w:num w:numId="3" w16cid:durableId="967316375">
    <w:abstractNumId w:val="4"/>
  </w:num>
  <w:num w:numId="4" w16cid:durableId="1942836017">
    <w:abstractNumId w:val="15"/>
  </w:num>
  <w:num w:numId="5" w16cid:durableId="1472746397">
    <w:abstractNumId w:val="11"/>
  </w:num>
  <w:num w:numId="6" w16cid:durableId="899635464">
    <w:abstractNumId w:val="3"/>
  </w:num>
  <w:num w:numId="7" w16cid:durableId="1215583172">
    <w:abstractNumId w:val="5"/>
  </w:num>
  <w:num w:numId="8" w16cid:durableId="315229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2434419">
    <w:abstractNumId w:val="0"/>
  </w:num>
  <w:num w:numId="10" w16cid:durableId="1980453852">
    <w:abstractNumId w:val="17"/>
  </w:num>
  <w:num w:numId="11" w16cid:durableId="1219048794">
    <w:abstractNumId w:val="6"/>
  </w:num>
  <w:num w:numId="12" w16cid:durableId="734162626">
    <w:abstractNumId w:val="10"/>
  </w:num>
  <w:num w:numId="13" w16cid:durableId="361169947">
    <w:abstractNumId w:val="7"/>
  </w:num>
  <w:num w:numId="14" w16cid:durableId="1786462731">
    <w:abstractNumId w:val="9"/>
  </w:num>
  <w:num w:numId="15" w16cid:durableId="146015395">
    <w:abstractNumId w:val="13"/>
  </w:num>
  <w:num w:numId="16" w16cid:durableId="2064480412">
    <w:abstractNumId w:val="8"/>
  </w:num>
  <w:num w:numId="17" w16cid:durableId="542327802">
    <w:abstractNumId w:val="16"/>
  </w:num>
  <w:num w:numId="18" w16cid:durableId="947927767">
    <w:abstractNumId w:val="12"/>
  </w:num>
  <w:num w:numId="19" w16cid:durableId="1077899114">
    <w:abstractNumId w:val="18"/>
  </w:num>
  <w:num w:numId="20" w16cid:durableId="811483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2646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52D5"/>
    <w:rsid w:val="00186628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4959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4D99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0289"/>
    <w:rsid w:val="00441339"/>
    <w:rsid w:val="00442612"/>
    <w:rsid w:val="004446FD"/>
    <w:rsid w:val="0045052C"/>
    <w:rsid w:val="00450CE8"/>
    <w:rsid w:val="00453288"/>
    <w:rsid w:val="00453657"/>
    <w:rsid w:val="00454F6E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422"/>
    <w:rsid w:val="00493110"/>
    <w:rsid w:val="004940E6"/>
    <w:rsid w:val="0049422E"/>
    <w:rsid w:val="00496CE9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B15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3A65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1FF2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3B1F"/>
    <w:rsid w:val="0085483A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06E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36D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369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055AB"/>
    <w:rsid w:val="00B116FF"/>
    <w:rsid w:val="00B13A3C"/>
    <w:rsid w:val="00B15F17"/>
    <w:rsid w:val="00B21086"/>
    <w:rsid w:val="00B243C4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2706"/>
    <w:rsid w:val="00BA3502"/>
    <w:rsid w:val="00BA355D"/>
    <w:rsid w:val="00BC5FFE"/>
    <w:rsid w:val="00BD1F1F"/>
    <w:rsid w:val="00BD36CF"/>
    <w:rsid w:val="00BD4FA2"/>
    <w:rsid w:val="00BD651B"/>
    <w:rsid w:val="00BD6603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0713"/>
    <w:rsid w:val="00DC2425"/>
    <w:rsid w:val="00DC28FE"/>
    <w:rsid w:val="00DC3FD8"/>
    <w:rsid w:val="00DC5500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115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6220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9377F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6224B-C1B4-408D-A1BA-7C8BA419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4952</Words>
  <Characters>2824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Lietotajs</cp:lastModifiedBy>
  <cp:revision>12</cp:revision>
  <cp:lastPrinted>2023-03-16T13:00:00Z</cp:lastPrinted>
  <dcterms:created xsi:type="dcterms:W3CDTF">2024-12-19T13:44:00Z</dcterms:created>
  <dcterms:modified xsi:type="dcterms:W3CDTF">2025-04-25T13:16:00Z</dcterms:modified>
</cp:coreProperties>
</file>