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1D27C5C5" w:rsidR="008A0127" w:rsidRPr="008A0127" w:rsidRDefault="00CA57B4" w:rsidP="008A0127">
      <w:pPr>
        <w:spacing w:after="0" w:line="240" w:lineRule="auto"/>
        <w:contextualSpacing w:val="0"/>
        <w:jc w:val="right"/>
        <w:rPr>
          <w:rFonts w:eastAsia="Times New Roman" w:cs="Times New Roman"/>
          <w:szCs w:val="24"/>
        </w:rPr>
      </w:pPr>
      <w:r>
        <w:rPr>
          <w:rFonts w:eastAsia="Times New Roman" w:cs="Times New Roman"/>
          <w:szCs w:val="24"/>
        </w:rPr>
        <w:t>17</w:t>
      </w:r>
      <w:r w:rsidR="008A0127" w:rsidRPr="008A0127">
        <w:rPr>
          <w:rFonts w:eastAsia="Times New Roman" w:cs="Times New Roman"/>
          <w:szCs w:val="24"/>
        </w:rPr>
        <w:t>.</w:t>
      </w:r>
      <w:r>
        <w:rPr>
          <w:rFonts w:eastAsia="Times New Roman" w:cs="Times New Roman"/>
          <w:szCs w:val="24"/>
        </w:rPr>
        <w:t>04</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C1247B">
        <w:rPr>
          <w:rFonts w:eastAsia="Times New Roman" w:cs="Times New Roman"/>
          <w:szCs w:val="24"/>
        </w:rPr>
        <w:t>281</w:t>
      </w:r>
    </w:p>
    <w:p w14:paraId="700C298B" w14:textId="19DACB9E"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C1247B">
        <w:rPr>
          <w:rFonts w:eastAsia="Times New Roman" w:cs="Times New Roman"/>
          <w:szCs w:val="24"/>
        </w:rPr>
        <w:t>5, 72</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027BB5">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1EB61ADE" w14:textId="77777777" w:rsidR="008B17E8" w:rsidRDefault="009063E2" w:rsidP="00C30BBB">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CA57B4">
        <w:rPr>
          <w:rFonts w:eastAsia="Times New Roman" w:cs="Times New Roman"/>
          <w:b/>
          <w:bCs/>
          <w:caps/>
          <w:sz w:val="28"/>
          <w:szCs w:val="28"/>
        </w:rPr>
        <w:t>Skolas iela 3-5</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CA57B4">
        <w:rPr>
          <w:rFonts w:eastAsia="Times New Roman" w:cs="Times New Roman"/>
          <w:b/>
          <w:bCs/>
          <w:caps/>
          <w:sz w:val="28"/>
          <w:szCs w:val="28"/>
        </w:rPr>
        <w:t>Vidrižos, Vidrižu</w:t>
      </w:r>
      <w:r w:rsidR="003A094C">
        <w:rPr>
          <w:rFonts w:eastAsia="Times New Roman" w:cs="Times New Roman"/>
          <w:b/>
          <w:bCs/>
          <w:caps/>
          <w:sz w:val="28"/>
          <w:szCs w:val="28"/>
        </w:rPr>
        <w:t xml:space="preserve"> </w:t>
      </w:r>
      <w:r w:rsidR="003A094C" w:rsidRPr="0004221B">
        <w:rPr>
          <w:rFonts w:eastAsia="Times New Roman" w:cs="Times New Roman"/>
          <w:b/>
          <w:bCs/>
          <w:caps/>
          <w:sz w:val="28"/>
          <w:szCs w:val="28"/>
        </w:rPr>
        <w:t xml:space="preserve">pagastā, </w:t>
      </w:r>
    </w:p>
    <w:p w14:paraId="21EC6967" w14:textId="4B3180D4" w:rsidR="003A094C" w:rsidRPr="005D36CD" w:rsidRDefault="003A094C" w:rsidP="00C30BBB">
      <w:pPr>
        <w:spacing w:after="0" w:line="240" w:lineRule="auto"/>
        <w:jc w:val="center"/>
        <w:rPr>
          <w:rFonts w:eastAsia="Times New Roman" w:cs="Times New Roman"/>
          <w:b/>
          <w:bCs/>
          <w:caps/>
          <w:sz w:val="28"/>
          <w:szCs w:val="28"/>
        </w:rPr>
      </w:pPr>
      <w:r w:rsidRPr="0004221B">
        <w:rPr>
          <w:rFonts w:eastAsia="Times New Roman" w:cs="Times New Roman"/>
          <w:b/>
          <w:bCs/>
          <w:caps/>
          <w:sz w:val="28"/>
          <w:szCs w:val="28"/>
        </w:rPr>
        <w:t xml:space="preserve">Limbažu novadā, </w:t>
      </w: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3090D2D3" w14:textId="77777777" w:rsidR="00027BB5" w:rsidRPr="0004221B" w:rsidRDefault="00027BB5"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64DE1CBA"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bookmarkStart w:id="0" w:name="_Hlk161233249"/>
      <w:bookmarkStart w:id="1" w:name="_Hlk184289616"/>
      <w:bookmarkStart w:id="2" w:name="_Hlk194313980"/>
      <w:r w:rsidR="00CA57B4" w:rsidRPr="00CA57B4">
        <w:rPr>
          <w:rFonts w:eastAsia="Times New Roman" w:cs="Times New Roman"/>
          <w:szCs w:val="24"/>
        </w:rPr>
        <w:t>“Skolas iela 3-5”, Vidriži, Vidrižu pagasts, Limbažu novads, kadastra Nr. 6684 900 0009, sastāv no dzīvokļa Nr.5, 24,2 m</w:t>
      </w:r>
      <w:r w:rsidR="00CA57B4" w:rsidRPr="00CA57B4">
        <w:rPr>
          <w:rFonts w:eastAsia="Times New Roman" w:cs="Times New Roman"/>
          <w:szCs w:val="24"/>
          <w:vertAlign w:val="superscript"/>
        </w:rPr>
        <w:t>2</w:t>
      </w:r>
      <w:r w:rsidR="00CA57B4" w:rsidRPr="00CA57B4">
        <w:rPr>
          <w:rFonts w:eastAsia="Times New Roman" w:cs="Times New Roman"/>
          <w:szCs w:val="24"/>
        </w:rPr>
        <w:t xml:space="preserve"> platībā un 242/4604 kopīpašuma domājamām daļām no dzīvojamās mājas ar kadastra apzīmējumu 66840010057001 un zemes vienības ar kadastra apzīmējumu </w:t>
      </w:r>
      <w:bookmarkEnd w:id="0"/>
      <w:r w:rsidR="00CA57B4" w:rsidRPr="00CA57B4">
        <w:rPr>
          <w:rFonts w:eastAsia="Times New Roman" w:cs="Times New Roman"/>
          <w:szCs w:val="24"/>
        </w:rPr>
        <w:t>66840010057</w:t>
      </w:r>
      <w:bookmarkEnd w:id="1"/>
      <w:r w:rsidR="00CA57B4" w:rsidRPr="00CA57B4">
        <w:rPr>
          <w:rFonts w:eastAsia="Times New Roman" w:cs="Times New Roman"/>
          <w:szCs w:val="24"/>
        </w:rPr>
        <w:t xml:space="preserve"> </w:t>
      </w:r>
      <w:bookmarkEnd w:id="2"/>
      <w:r w:rsidRPr="00202BE8">
        <w:t xml:space="preserve">(turpmāk – </w:t>
      </w:r>
      <w:r w:rsidRPr="00EB4A5F">
        <w:rPr>
          <w:bCs/>
        </w:rPr>
        <w:t>IZSOLES OBJEKTS</w:t>
      </w:r>
      <w:r w:rsidRPr="00202BE8">
        <w:rPr>
          <w:b/>
        </w:rPr>
        <w:t>)</w:t>
      </w:r>
      <w:r w:rsidRPr="00202BE8">
        <w:t>.</w:t>
      </w:r>
    </w:p>
    <w:p w14:paraId="598F533D" w14:textId="6083E841"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CA57B4">
        <w:rPr>
          <w:rFonts w:eastAsia="Times New Roman" w:cs="Times New Roman"/>
          <w:bCs/>
          <w:szCs w:val="24"/>
        </w:rPr>
        <w:t>Vidrižu</w:t>
      </w:r>
      <w:r w:rsidR="005D36CD" w:rsidRPr="005D36CD">
        <w:rPr>
          <w:rFonts w:eastAsia="Times New Roman" w:cs="Times New Roman"/>
          <w:bCs/>
          <w:szCs w:val="24"/>
        </w:rPr>
        <w:t xml:space="preserve"> pagasta zemesgrāmatas nodalījumā Nr. </w:t>
      </w:r>
      <w:r w:rsidR="00CA57B4">
        <w:rPr>
          <w:rFonts w:eastAsia="Times New Roman" w:cs="Times New Roman"/>
          <w:bCs/>
          <w:szCs w:val="24"/>
        </w:rPr>
        <w:t>125 5</w:t>
      </w:r>
      <w:r w:rsidRPr="0004221B">
        <w:rPr>
          <w:rFonts w:eastAsia="Times New Roman" w:cs="Times New Roman"/>
          <w:szCs w:val="24"/>
        </w:rPr>
        <w:t>.</w:t>
      </w:r>
      <w:r w:rsidRPr="0004221B">
        <w:rPr>
          <w:rFonts w:eastAsia="Times New Roman" w:cs="Times New Roman"/>
          <w:b/>
          <w:szCs w:val="24"/>
        </w:rPr>
        <w:t xml:space="preserve">      </w:t>
      </w:r>
    </w:p>
    <w:p w14:paraId="343A7577" w14:textId="7B6994E9"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atrodas</w:t>
      </w:r>
      <w:r w:rsidR="00A91C40" w:rsidRPr="00A91C40">
        <w:t xml:space="preserve"> </w:t>
      </w:r>
      <w:r w:rsidR="00CA57B4" w:rsidRPr="00CA57B4">
        <w:t>apdzīvotā vietā Vidriži, kas ir apdzīvota vieta Limbažu novada Vidrižu pagastā. Izvietojusies pagasta vidusdaļā pie autoceļa P9 2 km no pagasta centra Gravām, 20 km no novada centra Limbažiem un 66 km no Rīgas. Vidrižos atrodas sporta un kultūras centrs "Vidriži", Latvijas pasta nodaļa, ambulance, aptieka, pamatskola, viesu nami, bibliotēka, divi veikali — "Vidriži" un "Pagrabiņš".</w:t>
      </w:r>
    </w:p>
    <w:p w14:paraId="38379FE1" w14:textId="77777777" w:rsidR="00CA57B4" w:rsidRPr="00CA57B4" w:rsidRDefault="009B310C" w:rsidP="009B310C">
      <w:pPr>
        <w:numPr>
          <w:ilvl w:val="1"/>
          <w:numId w:val="1"/>
        </w:numPr>
        <w:spacing w:after="0" w:line="240" w:lineRule="auto"/>
        <w:ind w:right="84"/>
        <w:rPr>
          <w:rFonts w:eastAsia="Times New Roman" w:cs="Times New Roman"/>
          <w:bCs/>
          <w:szCs w:val="24"/>
        </w:rPr>
      </w:pPr>
      <w:r w:rsidRPr="00CA57B4">
        <w:rPr>
          <w:rFonts w:eastAsia="Times New Roman" w:cs="Times New Roman"/>
          <w:szCs w:val="24"/>
        </w:rPr>
        <w:t xml:space="preserve">IZSOLES OBJEKTA </w:t>
      </w:r>
      <w:r w:rsidR="00A91C40" w:rsidRPr="00CA57B4">
        <w:rPr>
          <w:rFonts w:eastAsia="Times New Roman" w:cs="Times New Roman"/>
          <w:szCs w:val="24"/>
        </w:rPr>
        <w:t>Pozitīvi novērtējamā objekta tirgus vērtību ietekmējošie faktori</w:t>
      </w:r>
      <w:r w:rsidR="00CA57B4">
        <w:rPr>
          <w:rFonts w:eastAsia="Times New Roman" w:cs="Times New Roman"/>
          <w:szCs w:val="24"/>
        </w:rPr>
        <w:t>:</w:t>
      </w:r>
      <w:r w:rsidR="00A91C40" w:rsidRPr="00CA57B4">
        <w:rPr>
          <w:rFonts w:eastAsia="Times New Roman" w:cs="Times New Roman"/>
          <w:szCs w:val="24"/>
        </w:rPr>
        <w:t xml:space="preserve"> </w:t>
      </w:r>
      <w:r w:rsidR="00CA57B4" w:rsidRPr="00CA57B4">
        <w:rPr>
          <w:rFonts w:eastAsia="Times New Roman" w:cs="Times New Roman"/>
          <w:szCs w:val="24"/>
        </w:rPr>
        <w:t>1) Īpašuma sastāvā ir zeme, 2) Atrašanās vieta ciemata centrā, 3) Mūra ēka. Negatīvi ietekmējoši faktori: 1) Telpu apdares stāvoklis ļoti slikts, nepieciešami kapitālieguldījumi telpu renovācijai, 2) Nav komunikāciju.</w:t>
      </w:r>
    </w:p>
    <w:p w14:paraId="417FE9F0" w14:textId="3FB3BD67" w:rsidR="009B310C" w:rsidRPr="00CA57B4"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CA57B4">
        <w:t>Vidrižu</w:t>
      </w:r>
      <w:r>
        <w:t xml:space="preserve"> </w:t>
      </w:r>
      <w:r w:rsidR="00027BB5">
        <w:t>pagasta pakalpojumu sniegšanas centra</w:t>
      </w:r>
      <w:r>
        <w:t xml:space="preserve"> vadītāj</w:t>
      </w:r>
      <w:r w:rsidR="00CA57B4">
        <w:t>a p.i.</w:t>
      </w:r>
      <w:r>
        <w:t xml:space="preserve"> </w:t>
      </w:r>
      <w:r w:rsidR="00CA57B4">
        <w:t>Egiju Bērziņu</w:t>
      </w:r>
      <w:r>
        <w:t xml:space="preserve"> tel.</w:t>
      </w:r>
      <w:r w:rsidR="00CA57B4">
        <w:t>26673962</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46AA2C59"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027BB5">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132607C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9B310C" w:rsidRPr="00C345CF">
        <w:rPr>
          <w:rFonts w:eastAsia="Times New Roman" w:cs="Times New Roman"/>
          <w:b/>
          <w:bCs/>
          <w:color w:val="000000" w:themeColor="text1"/>
          <w:szCs w:val="24"/>
        </w:rPr>
        <w:t>1</w:t>
      </w:r>
      <w:r w:rsidR="00CA57B4">
        <w:rPr>
          <w:rFonts w:eastAsia="Times New Roman" w:cs="Times New Roman"/>
          <w:b/>
          <w:bCs/>
          <w:color w:val="000000" w:themeColor="text1"/>
          <w:szCs w:val="24"/>
        </w:rPr>
        <w:t>3</w:t>
      </w:r>
      <w:r w:rsidR="007858E6" w:rsidRPr="00C345CF">
        <w:rPr>
          <w:rFonts w:eastAsia="Times New Roman" w:cs="Times New Roman"/>
          <w:b/>
          <w:bCs/>
          <w:color w:val="000000" w:themeColor="text1"/>
          <w:szCs w:val="24"/>
        </w:rPr>
        <w:t>00</w:t>
      </w:r>
      <w:r w:rsidR="00133351" w:rsidRPr="00C345CF">
        <w:rPr>
          <w:rFonts w:eastAsia="Times New Roman" w:cs="Times New Roman"/>
          <w:b/>
          <w:bCs/>
          <w:color w:val="000000" w:themeColor="text1"/>
          <w:szCs w:val="24"/>
        </w:rPr>
        <w:t>,</w:t>
      </w:r>
      <w:r w:rsidRPr="00C345CF">
        <w:rPr>
          <w:b/>
          <w:bCs/>
          <w:color w:val="000000" w:themeColor="text1"/>
        </w:rPr>
        <w:t>00 EUR</w:t>
      </w:r>
      <w:r w:rsidRPr="00C345CF">
        <w:rPr>
          <w:color w:val="000000" w:themeColor="text1"/>
        </w:rPr>
        <w:t xml:space="preserve"> (</w:t>
      </w:r>
      <w:r w:rsidR="009B310C" w:rsidRPr="00C345CF">
        <w:rPr>
          <w:color w:val="000000" w:themeColor="text1"/>
        </w:rPr>
        <w:t xml:space="preserve">viens tūkstotis </w:t>
      </w:r>
      <w:r w:rsidR="00CA57B4">
        <w:rPr>
          <w:color w:val="000000" w:themeColor="text1"/>
        </w:rPr>
        <w:t xml:space="preserve">trīs simti </w:t>
      </w:r>
      <w:r w:rsidR="00CA57B4" w:rsidRPr="00CA57B4">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78A9D3C5"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9B310C" w:rsidRPr="00C345CF">
        <w:rPr>
          <w:rFonts w:eastAsia="Times New Roman" w:cs="Times New Roman"/>
          <w:color w:val="000000" w:themeColor="text1"/>
          <w:szCs w:val="24"/>
        </w:rPr>
        <w:t>10</w:t>
      </w:r>
      <w:r w:rsidR="00251142" w:rsidRPr="00C345CF">
        <w:rPr>
          <w:rFonts w:eastAsia="Times New Roman" w:cs="Times New Roman"/>
          <w:color w:val="000000" w:themeColor="text1"/>
          <w:szCs w:val="24"/>
        </w:rPr>
        <w:t>0</w:t>
      </w:r>
      <w:r>
        <w:rPr>
          <w:rFonts w:eastAsia="Times New Roman" w:cs="Times New Roman"/>
          <w:szCs w:val="24"/>
        </w:rPr>
        <w:t>,</w:t>
      </w:r>
      <w:r w:rsidRPr="0004221B">
        <w:rPr>
          <w:rFonts w:eastAsia="Times New Roman" w:cs="Times New Roman"/>
          <w:szCs w:val="24"/>
        </w:rPr>
        <w:t>00 EUR (</w:t>
      </w:r>
      <w:r w:rsidR="009B310C">
        <w:rPr>
          <w:rFonts w:eastAsia="Times New Roman" w:cs="Times New Roman"/>
          <w:szCs w:val="24"/>
        </w:rPr>
        <w:t>viens simts</w:t>
      </w:r>
      <w:r w:rsidRPr="0004221B">
        <w:rPr>
          <w:rFonts w:eastAsia="Times New Roman" w:cs="Times New Roman"/>
          <w:szCs w:val="24"/>
        </w:rPr>
        <w:t xml:space="preserve"> </w:t>
      </w:r>
      <w:r w:rsidR="00CA57B4" w:rsidRPr="00CA57B4">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A9AD72F"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lastRenderedPageBreak/>
        <w:t>izsolES objekta</w:t>
      </w:r>
      <w:r w:rsidRPr="0004221B">
        <w:rPr>
          <w:rFonts w:eastAsia="Times New Roman" w:cs="Times New Roman"/>
          <w:szCs w:val="24"/>
        </w:rPr>
        <w:t xml:space="preserve"> turpmākās izmantošanas nosacījumus, ja tādi paredzēti</w:t>
      </w:r>
      <w:r w:rsidR="004534BC">
        <w:rPr>
          <w:rFonts w:eastAsia="Times New Roman" w:cs="Times New Roman"/>
          <w:szCs w:val="24"/>
        </w:rPr>
        <w:t>.</w:t>
      </w:r>
    </w:p>
    <w:p w14:paraId="429CF61F" w14:textId="77777777" w:rsidR="004534BC" w:rsidRPr="00362DC8" w:rsidRDefault="004534BC" w:rsidP="004534BC">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4F7FE535"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3</w:t>
      </w:r>
      <w:r w:rsidR="00075469" w:rsidRPr="00EC5AD3">
        <w:rPr>
          <w:rFonts w:eastAsia="Times New Roman" w:cs="Times New Roman"/>
          <w:b/>
          <w:bCs/>
          <w:szCs w:val="24"/>
        </w:rPr>
        <w:t xml:space="preserve">. </w:t>
      </w:r>
      <w:r w:rsidR="00FF0B15">
        <w:rPr>
          <w:rFonts w:eastAsia="Times New Roman" w:cs="Times New Roman"/>
          <w:b/>
          <w:bCs/>
          <w:szCs w:val="24"/>
        </w:rPr>
        <w:t>jūnijā</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1762C988"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xml:space="preserve">, tālrunis uzziņām </w:t>
      </w:r>
      <w:r w:rsidR="009B310C" w:rsidRPr="00EC5AD3">
        <w:rPr>
          <w:rFonts w:eastAsia="Times New Roman" w:cs="Times New Roman"/>
          <w:szCs w:val="24"/>
        </w:rPr>
        <w:t>26398814, 25446899</w:t>
      </w:r>
      <w:r w:rsidRPr="00EC5AD3">
        <w:rPr>
          <w:rFonts w:eastAsia="Times New Roman" w:cs="Times New Roman"/>
          <w:szCs w:val="24"/>
        </w:rPr>
        <w:t xml:space="preserve">. </w:t>
      </w:r>
    </w:p>
    <w:p w14:paraId="6361A7DA" w14:textId="727A96A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EC5AD3" w:rsidRPr="00EC5AD3">
        <w:rPr>
          <w:rFonts w:eastAsia="Times New Roman" w:cs="Times New Roman"/>
          <w:b/>
          <w:bCs/>
          <w:szCs w:val="24"/>
        </w:rPr>
        <w:t>3</w:t>
      </w:r>
      <w:r w:rsidR="00075469" w:rsidRPr="00EC5AD3">
        <w:rPr>
          <w:rFonts w:eastAsia="Times New Roman" w:cs="Times New Roman"/>
          <w:b/>
          <w:bCs/>
          <w:szCs w:val="24"/>
        </w:rPr>
        <w:t xml:space="preserve">. </w:t>
      </w:r>
      <w:r w:rsidR="00FF0B15">
        <w:rPr>
          <w:rFonts w:eastAsia="Times New Roman" w:cs="Times New Roman"/>
          <w:b/>
          <w:bCs/>
          <w:szCs w:val="24"/>
        </w:rPr>
        <w:t>jūnijam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2ABA1860" w:rsidR="003A094C" w:rsidRPr="00C345CF"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9B310C" w:rsidRPr="00C345CF">
        <w:rPr>
          <w:rFonts w:eastAsia="Times New Roman" w:cs="Times New Roman"/>
          <w:color w:val="000000" w:themeColor="text1"/>
          <w:szCs w:val="24"/>
        </w:rPr>
        <w:t>1</w:t>
      </w:r>
      <w:r w:rsidR="00FF0B15">
        <w:rPr>
          <w:rFonts w:eastAsia="Times New Roman" w:cs="Times New Roman"/>
          <w:color w:val="000000" w:themeColor="text1"/>
          <w:szCs w:val="24"/>
        </w:rPr>
        <w:t>3</w:t>
      </w:r>
      <w:r w:rsidR="00DD1B4D" w:rsidRPr="00C345CF">
        <w:rPr>
          <w:rFonts w:eastAsia="Times New Roman" w:cs="Times New Roman"/>
          <w:color w:val="000000" w:themeColor="text1"/>
          <w:szCs w:val="24"/>
        </w:rPr>
        <w:t>0</w:t>
      </w:r>
      <w:r w:rsidRPr="00C345CF">
        <w:rPr>
          <w:rFonts w:eastAsia="Times New Roman" w:cs="Times New Roman"/>
          <w:color w:val="000000" w:themeColor="text1"/>
          <w:szCs w:val="24"/>
        </w:rPr>
        <w:t>,00 EUR (</w:t>
      </w:r>
      <w:r w:rsidR="009B310C" w:rsidRPr="00C345CF">
        <w:rPr>
          <w:rFonts w:eastAsia="Times New Roman" w:cs="Times New Roman"/>
          <w:color w:val="000000" w:themeColor="text1"/>
          <w:szCs w:val="24"/>
        </w:rPr>
        <w:t xml:space="preserve">viens simts </w:t>
      </w:r>
      <w:r w:rsidR="00FF0B15">
        <w:rPr>
          <w:rFonts w:eastAsia="Times New Roman" w:cs="Times New Roman"/>
          <w:color w:val="000000" w:themeColor="text1"/>
          <w:szCs w:val="24"/>
        </w:rPr>
        <w:t xml:space="preserve">trīsdesmit </w:t>
      </w:r>
      <w:r w:rsidRPr="00C345CF">
        <w:rPr>
          <w:rFonts w:eastAsia="Times New Roman" w:cs="Times New Roman"/>
          <w:color w:val="000000" w:themeColor="text1"/>
          <w:szCs w:val="24"/>
        </w:rPr>
        <w:t>eiro un 00 cent</w:t>
      </w:r>
      <w:r w:rsidR="009B310C" w:rsidRPr="00C345CF">
        <w:rPr>
          <w:rFonts w:eastAsia="Times New Roman" w:cs="Times New Roman"/>
          <w:color w:val="000000" w:themeColor="text1"/>
          <w:szCs w:val="24"/>
        </w:rPr>
        <w:t>i</w:t>
      </w:r>
      <w:r w:rsidRPr="00C345CF">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30512B45"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EC5AD3" w:rsidRPr="00EC5AD3">
        <w:rPr>
          <w:rFonts w:eastAsia="Times New Roman" w:cs="Times New Roman"/>
          <w:b/>
          <w:bCs/>
          <w:szCs w:val="24"/>
        </w:rPr>
        <w:t>5</w:t>
      </w:r>
      <w:r w:rsidR="00075469" w:rsidRPr="00EC5AD3">
        <w:rPr>
          <w:rFonts w:eastAsia="Times New Roman" w:cs="Times New Roman"/>
          <w:b/>
          <w:bCs/>
          <w:szCs w:val="24"/>
        </w:rPr>
        <w:t xml:space="preserve">. </w:t>
      </w:r>
      <w:r w:rsidR="00FF0B15">
        <w:rPr>
          <w:rFonts w:eastAsia="Times New Roman" w:cs="Times New Roman"/>
          <w:b/>
          <w:bCs/>
          <w:szCs w:val="24"/>
        </w:rPr>
        <w:t>jūnijā</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EC5AD3" w:rsidRPr="00EC5AD3">
        <w:rPr>
          <w:rFonts w:eastAsia="Times New Roman" w:cs="Times New Roman"/>
          <w:b/>
          <w:bCs/>
          <w:szCs w:val="24"/>
          <w:vertAlign w:val="superscript"/>
        </w:rPr>
        <w:t>00</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67D75B3" w14:textId="71E237E8"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sidR="004F5E6F">
        <w:rPr>
          <w:rFonts w:eastAsia="Times New Roman" w:cs="Times New Roman"/>
          <w:szCs w:val="24"/>
        </w:rPr>
        <w:t>reģistrētais</w:t>
      </w:r>
      <w:r w:rsidRPr="0004221B">
        <w:rPr>
          <w:rFonts w:eastAsia="Times New Roman" w:cs="Times New Roman"/>
          <w:szCs w:val="24"/>
        </w:rPr>
        <w:t xml:space="preserve"> </w:t>
      </w:r>
      <w:r w:rsidR="004F5E6F">
        <w:rPr>
          <w:rFonts w:eastAsia="Times New Roman" w:cs="Times New Roman"/>
          <w:szCs w:val="24"/>
        </w:rPr>
        <w:t xml:space="preserve">izsoles </w:t>
      </w:r>
      <w:r w:rsidRPr="0004221B">
        <w:rPr>
          <w:rFonts w:eastAsia="Times New Roman" w:cs="Times New Roman"/>
          <w:szCs w:val="24"/>
        </w:rPr>
        <w:t>dalībnieks</w:t>
      </w:r>
      <w:r w:rsidR="004F5E6F">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sidR="004F5E6F">
        <w:rPr>
          <w:rFonts w:eastAsia="Times New Roman" w:cs="Times New Roman"/>
          <w:szCs w:val="24"/>
        </w:rPr>
        <w:t xml:space="preserve">uzskatāma par </w:t>
      </w:r>
      <w:r w:rsidRPr="0004221B">
        <w:rPr>
          <w:rFonts w:eastAsia="Times New Roman" w:cs="Times New Roman"/>
          <w:szCs w:val="24"/>
        </w:rPr>
        <w:t>nenot</w:t>
      </w:r>
      <w:r w:rsidR="004F5E6F">
        <w:rPr>
          <w:rFonts w:eastAsia="Times New Roman" w:cs="Times New Roman"/>
          <w:szCs w:val="24"/>
        </w:rPr>
        <w:t>ikušu</w:t>
      </w:r>
      <w:r w:rsidRPr="0004221B">
        <w:rPr>
          <w:rFonts w:eastAsia="Times New Roman" w:cs="Times New Roman"/>
          <w:szCs w:val="24"/>
        </w:rPr>
        <w:t xml:space="preserve">. </w:t>
      </w:r>
      <w:r w:rsidR="004F5E6F">
        <w:rPr>
          <w:rFonts w:eastAsia="Times New Roman" w:cs="Times New Roman"/>
          <w:szCs w:val="24"/>
        </w:rPr>
        <w:t>Nenotikušas izsoles gadījumā reģistrētajiem i</w:t>
      </w:r>
      <w:r w:rsidRPr="0004221B">
        <w:rPr>
          <w:rFonts w:eastAsia="Times New Roman" w:cs="Times New Roman"/>
          <w:szCs w:val="24"/>
        </w:rPr>
        <w:t>zsoles dalībniekiem</w:t>
      </w:r>
      <w:r w:rsidR="004F5E6F">
        <w:rPr>
          <w:rFonts w:eastAsia="Times New Roman" w:cs="Times New Roman"/>
          <w:szCs w:val="24"/>
        </w:rPr>
        <w:t xml:space="preserve"> ne</w:t>
      </w:r>
      <w:r w:rsidRPr="0004221B">
        <w:rPr>
          <w:rFonts w:eastAsia="Times New Roman" w:cs="Times New Roman"/>
          <w:szCs w:val="24"/>
        </w:rPr>
        <w:t>tiek atmaksāts nodrošinājums</w:t>
      </w:r>
      <w:r w:rsidR="004F5E6F">
        <w:rPr>
          <w:rFonts w:eastAsia="Times New Roman" w:cs="Times New Roman"/>
          <w:szCs w:val="24"/>
        </w:rPr>
        <w:t xml:space="preserve"> un dalības</w:t>
      </w:r>
      <w:r w:rsidRPr="0004221B">
        <w:rPr>
          <w:rFonts w:eastAsia="Times New Roman" w:cs="Times New Roman"/>
          <w:szCs w:val="24"/>
        </w:rPr>
        <w:t xml:space="preserve"> maksa</w:t>
      </w:r>
      <w:r w:rsidR="004F5E6F">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5C1512" w14:textId="78D94CC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sidR="006B7369">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w:t>
      </w:r>
      <w:r w:rsidRPr="0004221B">
        <w:rPr>
          <w:rFonts w:eastAsia="Times New Roman" w:cs="Times New Roman"/>
          <w:bCs/>
          <w:szCs w:val="24"/>
        </w:rPr>
        <w:lastRenderedPageBreak/>
        <w:t>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618FA69B" w:rsidR="003A094C" w:rsidRPr="005E2A39" w:rsidRDefault="00FF0B15" w:rsidP="003A094C">
      <w:pPr>
        <w:ind w:left="6237" w:right="-58"/>
      </w:pPr>
      <w:r>
        <w:rPr>
          <w:rFonts w:eastAsia="Times New Roman" w:cs="Times New Roman"/>
          <w:szCs w:val="24"/>
          <w:lang w:eastAsia="lv-LV"/>
        </w:rPr>
        <w:t>17</w:t>
      </w:r>
      <w:r w:rsidR="005C5F8F">
        <w:rPr>
          <w:rFonts w:eastAsia="Times New Roman" w:cs="Times New Roman"/>
          <w:szCs w:val="24"/>
          <w:lang w:eastAsia="lv-LV"/>
        </w:rPr>
        <w:t>.</w:t>
      </w:r>
      <w:r>
        <w:rPr>
          <w:rFonts w:eastAsia="Times New Roman" w:cs="Times New Roman"/>
          <w:szCs w:val="24"/>
          <w:lang w:eastAsia="lv-LV"/>
        </w:rPr>
        <w:t>04</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Skolas iela 3-5</w:t>
      </w:r>
      <w:r w:rsidR="003A094C" w:rsidRPr="0004221B">
        <w:t xml:space="preserve">”, </w:t>
      </w:r>
      <w:r>
        <w:t>Vidrižu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3563FC71"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FF0B15">
        <w:t>Skolas iela 3-5</w:t>
      </w:r>
      <w:r w:rsidR="00DD1B4D" w:rsidRPr="0004221B">
        <w:t xml:space="preserve">”, </w:t>
      </w:r>
      <w:r w:rsidR="00FF0B15">
        <w:t>Vidrižos, Vidrižu</w:t>
      </w:r>
      <w:r w:rsidR="00DD1B4D">
        <w:t xml:space="preserve"> </w:t>
      </w:r>
      <w:r w:rsidR="00DD1B4D" w:rsidRPr="0004221B">
        <w:t>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25218440"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w:t>
      </w:r>
      <w:r w:rsidR="00FF0B15" w:rsidRPr="00FF0B15">
        <w:rPr>
          <w:rFonts w:eastAsia="Times New Roman" w:cs="Times New Roman"/>
          <w:szCs w:val="24"/>
        </w:rPr>
        <w:t>“Skolas iela 3-5”, Vidriži, Vidrižu pagasts, Limbažu novads, kadastra Nr. 6684 900 0009, sastāv no dzīvokļa Nr.5, 24,2 m</w:t>
      </w:r>
      <w:r w:rsidR="00FF0B15" w:rsidRPr="00FF0B15">
        <w:rPr>
          <w:rFonts w:eastAsia="Times New Roman" w:cs="Times New Roman"/>
          <w:szCs w:val="24"/>
          <w:vertAlign w:val="superscript"/>
        </w:rPr>
        <w:t>2</w:t>
      </w:r>
      <w:r w:rsidR="00FF0B15" w:rsidRPr="00FF0B15">
        <w:rPr>
          <w:rFonts w:eastAsia="Times New Roman" w:cs="Times New Roman"/>
          <w:szCs w:val="24"/>
        </w:rPr>
        <w:t xml:space="preserve"> platībā un 242/4604 kopīpašuma domājamām daļām no dzīvojamās mājas ar kadastra apzīmējumu 66840010057001 un zemes vienības ar kadastra apzīmējumu 66840010057 </w:t>
      </w:r>
      <w:r w:rsidR="00C3680F"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96D1AC"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012B56">
          <w:headerReference w:type="first" r:id="rId11"/>
          <w:pgSz w:w="11907" w:h="16840" w:code="9"/>
          <w:pgMar w:top="568" w:right="851" w:bottom="851"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134D7B0D" w:rsidR="003A094C" w:rsidRPr="0004221B" w:rsidRDefault="00FF0B15" w:rsidP="003A094C">
      <w:pPr>
        <w:ind w:left="6237" w:right="-58"/>
        <w:rPr>
          <w:rFonts w:eastAsia="Times New Roman" w:cs="Times New Roman"/>
          <w:szCs w:val="24"/>
        </w:rPr>
      </w:pPr>
      <w:r>
        <w:rPr>
          <w:rFonts w:eastAsia="Times New Roman" w:cs="Times New Roman"/>
          <w:szCs w:val="24"/>
          <w:lang w:eastAsia="lv-LV"/>
        </w:rPr>
        <w:t>17</w:t>
      </w:r>
      <w:r w:rsidR="005C5F8F">
        <w:rPr>
          <w:rFonts w:eastAsia="Times New Roman" w:cs="Times New Roman"/>
          <w:szCs w:val="24"/>
          <w:lang w:eastAsia="lv-LV"/>
        </w:rPr>
        <w:t>.</w:t>
      </w:r>
      <w:r>
        <w:rPr>
          <w:rFonts w:eastAsia="Times New Roman" w:cs="Times New Roman"/>
          <w:szCs w:val="24"/>
          <w:lang w:eastAsia="lv-LV"/>
        </w:rPr>
        <w:t>04</w:t>
      </w:r>
      <w:r w:rsidR="003A094C" w:rsidRPr="0004221B">
        <w:rPr>
          <w:rFonts w:eastAsia="Times New Roman" w:cs="Times New Roman"/>
          <w:szCs w:val="24"/>
          <w:lang w:eastAsia="lv-LV"/>
        </w:rPr>
        <w:t>.202</w:t>
      </w:r>
      <w:r w:rsidR="005749DE">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Skolas iela 3-5</w:t>
      </w:r>
      <w:r w:rsidR="003A094C" w:rsidRPr="0004221B">
        <w:t xml:space="preserve">”, </w:t>
      </w:r>
      <w:r>
        <w:t>Vidrižu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5C9D4D22" w:rsidR="003A094C" w:rsidRPr="0004221B" w:rsidRDefault="003A094C" w:rsidP="003A094C">
      <w:pPr>
        <w:ind w:right="-58"/>
        <w:rPr>
          <w:rFonts w:eastAsia="Times New Roman" w:cs="Times New Roman"/>
          <w:szCs w:val="24"/>
        </w:rPr>
      </w:pPr>
      <w:r w:rsidRPr="0004221B">
        <w:rPr>
          <w:rFonts w:eastAsia="Times New Roman" w:cs="Times New Roman"/>
          <w:szCs w:val="24"/>
        </w:rPr>
        <w:t>samaksājis (-usi)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C345CF">
        <w:rPr>
          <w:rFonts w:eastAsia="Times New Roman" w:cs="Times New Roman"/>
          <w:color w:val="000000" w:themeColor="text1"/>
          <w:szCs w:val="24"/>
        </w:rPr>
        <w:t>1</w:t>
      </w:r>
      <w:r w:rsidR="00FF0B15">
        <w:rPr>
          <w:rFonts w:eastAsia="Times New Roman" w:cs="Times New Roman"/>
          <w:color w:val="000000" w:themeColor="text1"/>
          <w:szCs w:val="24"/>
        </w:rPr>
        <w:t>3</w:t>
      </w:r>
      <w:r w:rsidR="00AF0093" w:rsidRPr="00C345CF">
        <w:rPr>
          <w:rFonts w:eastAsia="Times New Roman" w:cs="Times New Roman"/>
          <w:color w:val="000000" w:themeColor="text1"/>
          <w:szCs w:val="24"/>
        </w:rPr>
        <w:t>0</w:t>
      </w:r>
      <w:r w:rsidR="00FA4455" w:rsidRPr="00C345CF">
        <w:rPr>
          <w:rFonts w:eastAsia="Times New Roman" w:cs="Times New Roman"/>
          <w:color w:val="000000" w:themeColor="text1"/>
          <w:szCs w:val="24"/>
        </w:rPr>
        <w:t>,</w:t>
      </w:r>
      <w:r w:rsidRPr="00C345CF">
        <w:rPr>
          <w:rFonts w:eastAsia="Times New Roman" w:cs="Times New Roman"/>
          <w:color w:val="000000" w:themeColor="text1"/>
          <w:szCs w:val="24"/>
        </w:rPr>
        <w:t>00 EUR (</w:t>
      </w:r>
      <w:r w:rsidR="005749DE" w:rsidRPr="00C345CF">
        <w:rPr>
          <w:rFonts w:eastAsia="Times New Roman" w:cs="Times New Roman"/>
          <w:color w:val="000000" w:themeColor="text1"/>
          <w:szCs w:val="24"/>
        </w:rPr>
        <w:t xml:space="preserve">viens simts </w:t>
      </w:r>
      <w:r w:rsidR="00FF0B15">
        <w:rPr>
          <w:rFonts w:eastAsia="Times New Roman" w:cs="Times New Roman"/>
          <w:color w:val="000000" w:themeColor="text1"/>
          <w:szCs w:val="24"/>
        </w:rPr>
        <w:t xml:space="preserve">trīsdesmit </w:t>
      </w:r>
      <w:r w:rsidRPr="0004221B">
        <w:rPr>
          <w:rFonts w:eastAsia="Times New Roman" w:cs="Times New Roman"/>
          <w:szCs w:val="24"/>
        </w:rPr>
        <w:t xml:space="preserve">eiro un 00 centi) apmērā un ieguvis (-usi)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EC5AD3" w:rsidRPr="00EC5AD3">
        <w:rPr>
          <w:rFonts w:eastAsia="Times New Roman" w:cs="Times New Roman"/>
          <w:b/>
          <w:bCs/>
          <w:szCs w:val="24"/>
          <w:u w:val="single"/>
        </w:rPr>
        <w:t>5</w:t>
      </w:r>
      <w:r w:rsidR="00075469" w:rsidRPr="00EC5AD3">
        <w:rPr>
          <w:rFonts w:eastAsia="Times New Roman" w:cs="Times New Roman"/>
          <w:b/>
          <w:bCs/>
          <w:szCs w:val="24"/>
          <w:u w:val="single"/>
        </w:rPr>
        <w:t xml:space="preserve">. </w:t>
      </w:r>
      <w:r w:rsidR="00FF0B15">
        <w:rPr>
          <w:rFonts w:eastAsia="Times New Roman" w:cs="Times New Roman"/>
          <w:b/>
          <w:bCs/>
          <w:szCs w:val="24"/>
          <w:u w:val="single"/>
        </w:rPr>
        <w:t>jūnijā</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EC5AD3" w:rsidRPr="00EC5AD3">
        <w:rPr>
          <w:rFonts w:eastAsia="Times New Roman" w:cs="Times New Roman"/>
          <w:b/>
          <w:bCs/>
          <w:szCs w:val="24"/>
          <w:u w:val="single"/>
          <w:vertAlign w:val="superscript"/>
        </w:rPr>
        <w:t>00</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FF0B15" w:rsidRPr="00FF0B15">
        <w:t>“Skolas iela 3-5”, Vidriži, Vidrižu pagasts, Limbažu novads, kadastra Nr. 6684 900 0009, sastāv no dzīvokļa Nr.5, 24,2 m</w:t>
      </w:r>
      <w:r w:rsidR="00FF0B15" w:rsidRPr="00FF0B15">
        <w:rPr>
          <w:vertAlign w:val="superscript"/>
        </w:rPr>
        <w:t>2</w:t>
      </w:r>
      <w:r w:rsidR="00FF0B15" w:rsidRPr="00FF0B15">
        <w:t xml:space="preserve"> platībā un 242/4604 kopīpašuma domājamām daļām no dzīvojamās mājas ar kadastra apzīmējumu 66840010057001 un zemes vienības ar kadastra apzīmējumu 66840010057 </w:t>
      </w:r>
      <w:r w:rsidR="005749DE" w:rsidRPr="005749DE">
        <w:t xml:space="preserve"> </w:t>
      </w:r>
      <w:r w:rsidR="00C15DD9"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30A0A597" w:rsidR="003A094C" w:rsidRPr="00C345CF" w:rsidRDefault="003A094C" w:rsidP="003A094C">
      <w:pPr>
        <w:ind w:right="-58"/>
        <w:rPr>
          <w:rFonts w:eastAsia="Times New Roman" w:cs="Times New Roman"/>
          <w:color w:val="000000" w:themeColor="text1"/>
          <w:szCs w:val="24"/>
        </w:rPr>
      </w:pPr>
      <w:r w:rsidRPr="0004221B">
        <w:rPr>
          <w:rFonts w:eastAsia="Times New Roman" w:cs="Times New Roman"/>
          <w:szCs w:val="24"/>
        </w:rPr>
        <w:t xml:space="preserve">Izsolāmā objekta nosacītā cena (izsoles sākumcena) - </w:t>
      </w:r>
      <w:r w:rsidR="005749DE" w:rsidRPr="00C345CF">
        <w:rPr>
          <w:rFonts w:eastAsia="Times New Roman" w:cs="Times New Roman"/>
          <w:color w:val="000000" w:themeColor="text1"/>
          <w:szCs w:val="24"/>
        </w:rPr>
        <w:t>1</w:t>
      </w:r>
      <w:r w:rsidR="00FF0B15">
        <w:rPr>
          <w:rFonts w:eastAsia="Times New Roman" w:cs="Times New Roman"/>
          <w:color w:val="000000" w:themeColor="text1"/>
          <w:szCs w:val="24"/>
        </w:rPr>
        <w:t>3</w:t>
      </w:r>
      <w:r w:rsidR="005749DE" w:rsidRPr="00C345CF">
        <w:rPr>
          <w:rFonts w:eastAsia="Times New Roman" w:cs="Times New Roman"/>
          <w:color w:val="000000" w:themeColor="text1"/>
          <w:szCs w:val="24"/>
        </w:rPr>
        <w:t>00</w:t>
      </w:r>
      <w:r w:rsidRPr="00C345CF">
        <w:rPr>
          <w:color w:val="000000" w:themeColor="text1"/>
        </w:rPr>
        <w:t>,00 EUR (</w:t>
      </w:r>
      <w:r w:rsidR="005749DE" w:rsidRPr="00C345CF">
        <w:rPr>
          <w:color w:val="000000" w:themeColor="text1"/>
        </w:rPr>
        <w:t xml:space="preserve">viens tūkstotis </w:t>
      </w:r>
      <w:r w:rsidR="00FF0B15">
        <w:rPr>
          <w:color w:val="000000" w:themeColor="text1"/>
        </w:rPr>
        <w:t xml:space="preserve">trīs simti </w:t>
      </w:r>
      <w:r w:rsidR="008A0127" w:rsidRPr="00C345CF">
        <w:rPr>
          <w:color w:val="000000" w:themeColor="text1"/>
        </w:rPr>
        <w:t xml:space="preserve">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5E657193" w:rsidR="003A094C" w:rsidRPr="0004221B" w:rsidRDefault="003C3DCA" w:rsidP="003A094C">
      <w:pPr>
        <w:ind w:left="6237" w:right="-58"/>
        <w:rPr>
          <w:rFonts w:eastAsia="Times New Roman" w:cs="Times New Roman"/>
          <w:szCs w:val="24"/>
        </w:rPr>
      </w:pPr>
      <w:r>
        <w:rPr>
          <w:rFonts w:eastAsia="Times New Roman" w:cs="Times New Roman"/>
          <w:szCs w:val="24"/>
          <w:lang w:eastAsia="lv-LV"/>
        </w:rPr>
        <w:t>17</w:t>
      </w:r>
      <w:r w:rsidR="005C5F8F">
        <w:rPr>
          <w:rFonts w:eastAsia="Times New Roman" w:cs="Times New Roman"/>
          <w:szCs w:val="24"/>
          <w:lang w:eastAsia="lv-LV"/>
        </w:rPr>
        <w:t>.</w:t>
      </w:r>
      <w:r>
        <w:rPr>
          <w:rFonts w:eastAsia="Times New Roman" w:cs="Times New Roman"/>
          <w:szCs w:val="24"/>
          <w:lang w:eastAsia="lv-LV"/>
        </w:rPr>
        <w:t>04</w:t>
      </w:r>
      <w:r w:rsidR="003A094C" w:rsidRPr="0004221B">
        <w:rPr>
          <w:rFonts w:eastAsia="Times New Roman" w:cs="Times New Roman"/>
          <w:szCs w:val="24"/>
          <w:lang w:eastAsia="lv-LV"/>
        </w:rPr>
        <w:t>.202</w:t>
      </w:r>
      <w:r w:rsidR="00FE37E9">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Skolas iela 3-5</w:t>
      </w:r>
      <w:r w:rsidR="003A094C" w:rsidRPr="0004221B">
        <w:t xml:space="preserve">”, </w:t>
      </w:r>
      <w:r>
        <w:t>Vidrižu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Dagnis Straubergs,</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762C0754"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3C3DCA" w:rsidRPr="003C3DCA">
        <w:t>“Skolas iela 3-5”, Vidriži, Vidrižu pagasts, Limbažu novads, kadastra Nr. 6684 900 0009, sastāv no dzīvokļa Nr.5, 24,2 m</w:t>
      </w:r>
      <w:r w:rsidR="003C3DCA" w:rsidRPr="003C3DCA">
        <w:rPr>
          <w:vertAlign w:val="superscript"/>
        </w:rPr>
        <w:t>2</w:t>
      </w:r>
      <w:r w:rsidR="003C3DCA" w:rsidRPr="003C3DCA">
        <w:t xml:space="preserve"> platībā un 242/4604 kopīpašuma domājamām daļām no dzīvojamās mājas ar kadastra apzīmējumu 66840010057001 un zemes vienības ar kadastra apzīmējumu 66840010057</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D. Straubergs</w:t>
            </w:r>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3453B210"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3C3DCA" w:rsidRPr="003C3DCA">
              <w:t>“Skolas iela 3-5”, Vidriži, Vidrižu pagasts, Limbažu novads, kadastra Nr. 6684 900 0009, sastāv no dzīvokļa Nr.5, 24,2 m</w:t>
            </w:r>
            <w:r w:rsidR="003C3DCA" w:rsidRPr="003C3DCA">
              <w:rPr>
                <w:vertAlign w:val="superscript"/>
              </w:rPr>
              <w:t>2</w:t>
            </w:r>
            <w:r w:rsidR="003C3DCA" w:rsidRPr="003C3DCA">
              <w:t xml:space="preserve"> platībā un 242/4604 kopīpašuma domājamām daļām no dzīvojamās mājas ar kadastra apzīmējumu 66840010057001 un zemes vienības ar kadastra apzīmējumu 66840010057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D. Straubergs</w:t>
                        </w:r>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47C6D" w14:textId="77777777" w:rsidR="002B38E0" w:rsidRDefault="002B38E0">
      <w:pPr>
        <w:spacing w:after="0" w:line="240" w:lineRule="auto"/>
      </w:pPr>
      <w:r>
        <w:separator/>
      </w:r>
    </w:p>
  </w:endnote>
  <w:endnote w:type="continuationSeparator" w:id="0">
    <w:p w14:paraId="43857754" w14:textId="77777777" w:rsidR="002B38E0" w:rsidRDefault="002B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35A4" w14:textId="77777777" w:rsidR="002B38E0" w:rsidRDefault="002B38E0">
      <w:pPr>
        <w:spacing w:after="0" w:line="240" w:lineRule="auto"/>
      </w:pPr>
      <w:r>
        <w:separator/>
      </w:r>
    </w:p>
  </w:footnote>
  <w:footnote w:type="continuationSeparator" w:id="0">
    <w:p w14:paraId="35B838E5" w14:textId="77777777" w:rsidR="002B38E0" w:rsidRDefault="002B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C1247B">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44990962">
    <w:abstractNumId w:val="4"/>
  </w:num>
  <w:num w:numId="2" w16cid:durableId="1330908655">
    <w:abstractNumId w:val="2"/>
  </w:num>
  <w:num w:numId="3" w16cid:durableId="1841575686">
    <w:abstractNumId w:val="5"/>
  </w:num>
  <w:num w:numId="4" w16cid:durableId="715201886">
    <w:abstractNumId w:val="0"/>
  </w:num>
  <w:num w:numId="5" w16cid:durableId="2000159634">
    <w:abstractNumId w:val="1"/>
  </w:num>
  <w:num w:numId="6" w16cid:durableId="116427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27BB5"/>
    <w:rsid w:val="00051608"/>
    <w:rsid w:val="000613A3"/>
    <w:rsid w:val="00075469"/>
    <w:rsid w:val="000D4DC3"/>
    <w:rsid w:val="00112AD9"/>
    <w:rsid w:val="0012329E"/>
    <w:rsid w:val="00133351"/>
    <w:rsid w:val="00191276"/>
    <w:rsid w:val="001A00B6"/>
    <w:rsid w:val="001D13A4"/>
    <w:rsid w:val="00207707"/>
    <w:rsid w:val="00226F44"/>
    <w:rsid w:val="00251142"/>
    <w:rsid w:val="00264733"/>
    <w:rsid w:val="002964DD"/>
    <w:rsid w:val="002B0FAD"/>
    <w:rsid w:val="002B38E0"/>
    <w:rsid w:val="002C77B8"/>
    <w:rsid w:val="0033438B"/>
    <w:rsid w:val="00350B48"/>
    <w:rsid w:val="003670D3"/>
    <w:rsid w:val="003878E6"/>
    <w:rsid w:val="003A094C"/>
    <w:rsid w:val="003C3DCA"/>
    <w:rsid w:val="003F38CD"/>
    <w:rsid w:val="00415F44"/>
    <w:rsid w:val="004534BC"/>
    <w:rsid w:val="004A5397"/>
    <w:rsid w:val="004B217A"/>
    <w:rsid w:val="004F5E6F"/>
    <w:rsid w:val="004F7247"/>
    <w:rsid w:val="00523863"/>
    <w:rsid w:val="00540CA3"/>
    <w:rsid w:val="00563E94"/>
    <w:rsid w:val="005749DE"/>
    <w:rsid w:val="005C5F8F"/>
    <w:rsid w:val="005D36CD"/>
    <w:rsid w:val="006B7369"/>
    <w:rsid w:val="006C5C12"/>
    <w:rsid w:val="0075088F"/>
    <w:rsid w:val="007858E6"/>
    <w:rsid w:val="007C5C1A"/>
    <w:rsid w:val="008A0127"/>
    <w:rsid w:val="008B17E8"/>
    <w:rsid w:val="008D2435"/>
    <w:rsid w:val="008E2078"/>
    <w:rsid w:val="008E5FED"/>
    <w:rsid w:val="008F4874"/>
    <w:rsid w:val="008F638D"/>
    <w:rsid w:val="009063E2"/>
    <w:rsid w:val="00935BAC"/>
    <w:rsid w:val="00942062"/>
    <w:rsid w:val="0094562D"/>
    <w:rsid w:val="00965704"/>
    <w:rsid w:val="009B310C"/>
    <w:rsid w:val="009C32C6"/>
    <w:rsid w:val="009D68B6"/>
    <w:rsid w:val="00A423DE"/>
    <w:rsid w:val="00A57790"/>
    <w:rsid w:val="00A91C40"/>
    <w:rsid w:val="00AF0093"/>
    <w:rsid w:val="00B12A23"/>
    <w:rsid w:val="00B202C1"/>
    <w:rsid w:val="00B5319D"/>
    <w:rsid w:val="00B85BA8"/>
    <w:rsid w:val="00C10338"/>
    <w:rsid w:val="00C1247B"/>
    <w:rsid w:val="00C15DD9"/>
    <w:rsid w:val="00C30BBB"/>
    <w:rsid w:val="00C345CF"/>
    <w:rsid w:val="00C3680F"/>
    <w:rsid w:val="00C92A9F"/>
    <w:rsid w:val="00CA57B4"/>
    <w:rsid w:val="00CF4560"/>
    <w:rsid w:val="00D208FC"/>
    <w:rsid w:val="00D52AD3"/>
    <w:rsid w:val="00D92736"/>
    <w:rsid w:val="00DD1B4D"/>
    <w:rsid w:val="00DE00B3"/>
    <w:rsid w:val="00E8738C"/>
    <w:rsid w:val="00EA74A1"/>
    <w:rsid w:val="00EC5AD3"/>
    <w:rsid w:val="00ED60A6"/>
    <w:rsid w:val="00F25E98"/>
    <w:rsid w:val="00F8519E"/>
    <w:rsid w:val="00F972DE"/>
    <w:rsid w:val="00FA4455"/>
    <w:rsid w:val="00FE37E9"/>
    <w:rsid w:val="00FF0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13978</Words>
  <Characters>7968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2025-05-06T12:01:00Z</dcterms:created>
  <dcterms:modified xsi:type="dcterms:W3CDTF">2025-05-06T12:01:00Z</dcterms:modified>
</cp:coreProperties>
</file>