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737A" w14:textId="647EA8BD" w:rsidR="00902DAF" w:rsidRDefault="00902DAF" w:rsidP="001C2E6E">
      <w:pPr>
        <w:pStyle w:val="Nosaukums"/>
        <w:jc w:val="left"/>
        <w:rPr>
          <w:caps/>
          <w:noProof/>
          <w:sz w:val="28"/>
          <w:szCs w:val="28"/>
        </w:rPr>
      </w:pPr>
    </w:p>
    <w:p w14:paraId="4BD0562C" w14:textId="6AFD2B27" w:rsidR="00FC7D47" w:rsidRPr="003C2FF0" w:rsidRDefault="00FC7D47" w:rsidP="003C2FF0">
      <w:pPr>
        <w:pStyle w:val="Nosaukums"/>
        <w:rPr>
          <w:caps/>
          <w:lang w:val="lv-LV"/>
        </w:rPr>
      </w:pPr>
      <w:r>
        <w:rPr>
          <w:caps/>
          <w:noProof/>
          <w:lang w:val="en-US"/>
        </w:rPr>
        <w:drawing>
          <wp:anchor distT="0" distB="0" distL="114300" distR="114300" simplePos="0" relativeHeight="251658240" behindDoc="0" locked="0" layoutInCell="1" allowOverlap="1" wp14:anchorId="42E5F3C4" wp14:editId="3EAE0376">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3F1">
        <w:rPr>
          <w:caps/>
          <w:noProof/>
          <w:sz w:val="28"/>
          <w:szCs w:val="28"/>
        </w:rPr>
        <w:t xml:space="preserve">Limbažu novada </w:t>
      </w:r>
      <w:r w:rsidR="004E4EA2">
        <w:rPr>
          <w:caps/>
          <w:noProof/>
          <w:sz w:val="28"/>
          <w:szCs w:val="28"/>
        </w:rPr>
        <w:t>PAŠVALDĪBA</w:t>
      </w:r>
    </w:p>
    <w:p w14:paraId="53C946B0" w14:textId="5F0010DA" w:rsidR="00FC7D47" w:rsidRDefault="00FC7D47" w:rsidP="00E76598">
      <w:pPr>
        <w:jc w:val="center"/>
        <w:rPr>
          <w:sz w:val="18"/>
          <w:szCs w:val="20"/>
        </w:rPr>
      </w:pPr>
      <w:r>
        <w:rPr>
          <w:sz w:val="18"/>
          <w:szCs w:val="20"/>
        </w:rPr>
        <w:t xml:space="preserve">Reģ.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65545D73" w14:textId="77777777" w:rsidR="00FC7D47" w:rsidRDefault="00FC7D47" w:rsidP="006C5375">
      <w:pPr>
        <w:pStyle w:val="Nosaukums"/>
        <w:rPr>
          <w:b w:val="0"/>
        </w:rPr>
      </w:pPr>
    </w:p>
    <w:p w14:paraId="7091DF83" w14:textId="1CDE7CDA" w:rsidR="00FC7D47" w:rsidRDefault="00FC7D47" w:rsidP="0074786F">
      <w:pPr>
        <w:tabs>
          <w:tab w:val="left" w:pos="490"/>
        </w:tabs>
        <w:rPr>
          <w:lang w:val="en-GB" w:eastAsia="en-US"/>
        </w:rPr>
        <w:sectPr w:rsidR="00FC7D47" w:rsidSect="00966D36">
          <w:headerReference w:type="default" r:id="rId8"/>
          <w:pgSz w:w="11906" w:h="16838"/>
          <w:pgMar w:top="1134" w:right="567" w:bottom="1134" w:left="1701" w:header="709" w:footer="709" w:gutter="0"/>
          <w:pgNumType w:start="1"/>
          <w:cols w:space="708"/>
          <w:titlePg/>
          <w:docGrid w:linePitch="360"/>
        </w:sectPr>
      </w:pPr>
    </w:p>
    <w:p w14:paraId="288EA0B3" w14:textId="7B58A21E" w:rsidR="001C5850" w:rsidRPr="001C5850" w:rsidRDefault="001C5850" w:rsidP="00743494">
      <w:pPr>
        <w:autoSpaceDE w:val="0"/>
        <w:autoSpaceDN w:val="0"/>
        <w:adjustRightInd w:val="0"/>
        <w:jc w:val="right"/>
        <w:rPr>
          <w:b/>
          <w:color w:val="000000"/>
        </w:rPr>
      </w:pPr>
      <w:r w:rsidRPr="001C5850">
        <w:rPr>
          <w:b/>
          <w:color w:val="000000"/>
        </w:rPr>
        <w:t xml:space="preserve">                                                          PIELIKUMS</w:t>
      </w:r>
    </w:p>
    <w:p w14:paraId="02B7BB56" w14:textId="2BD695E4" w:rsidR="001C5850" w:rsidRPr="001C5850" w:rsidRDefault="001C5850" w:rsidP="00743494">
      <w:pPr>
        <w:autoSpaceDE w:val="0"/>
        <w:autoSpaceDN w:val="0"/>
        <w:adjustRightInd w:val="0"/>
        <w:jc w:val="right"/>
        <w:rPr>
          <w:color w:val="000000"/>
        </w:rPr>
      </w:pPr>
      <w:r w:rsidRPr="001C5850">
        <w:rPr>
          <w:color w:val="000000"/>
        </w:rPr>
        <w:t xml:space="preserve">                                                                                               Amata kandidātu vērtēšanas komisijas </w:t>
      </w:r>
    </w:p>
    <w:p w14:paraId="5D9A9095" w14:textId="561869BA" w:rsidR="001C5850" w:rsidRPr="001C5850" w:rsidRDefault="001C5850" w:rsidP="00743494">
      <w:pPr>
        <w:jc w:val="right"/>
      </w:pPr>
      <w:r w:rsidRPr="001C5850">
        <w:t xml:space="preserve">                                                                      </w:t>
      </w:r>
      <w:r>
        <w:t xml:space="preserve">                        </w:t>
      </w:r>
      <w:r w:rsidR="00743494">
        <w:t>09.06</w:t>
      </w:r>
      <w:r>
        <w:t>.202</w:t>
      </w:r>
      <w:r w:rsidR="00BB72CD">
        <w:t>5</w:t>
      </w:r>
      <w:r w:rsidRPr="001C5850">
        <w:t>. protokolam Nr.</w:t>
      </w:r>
      <w:r w:rsidR="00BB72CD" w:rsidRPr="00BB72CD">
        <w:t xml:space="preserve"> </w:t>
      </w:r>
      <w:r w:rsidR="00743494">
        <w:t>3.13.1</w:t>
      </w:r>
      <w:r w:rsidR="00BB72CD" w:rsidRPr="00BB72CD">
        <w:t>/25/</w:t>
      </w:r>
      <w:r w:rsidR="00743494">
        <w:t>1</w:t>
      </w:r>
      <w:r w:rsidR="00BB72CD" w:rsidRPr="00BB72CD">
        <w:t>1</w:t>
      </w:r>
    </w:p>
    <w:p w14:paraId="62738285" w14:textId="411ED7D1" w:rsidR="00AD21E7" w:rsidRDefault="00AD21E7" w:rsidP="001C5850">
      <w:pPr>
        <w:spacing w:line="259" w:lineRule="auto"/>
        <w:rPr>
          <w:rFonts w:eastAsiaTheme="minorHAnsi"/>
          <w:b/>
          <w:bCs/>
          <w:sz w:val="26"/>
          <w:szCs w:val="26"/>
          <w:lang w:eastAsia="en-US"/>
        </w:rPr>
      </w:pPr>
    </w:p>
    <w:p w14:paraId="574A500E" w14:textId="77777777" w:rsidR="00BE0AC3" w:rsidRPr="00AD21E7" w:rsidRDefault="00BE0AC3" w:rsidP="001C5850">
      <w:pPr>
        <w:spacing w:line="259" w:lineRule="auto"/>
        <w:rPr>
          <w:rFonts w:eastAsiaTheme="minorHAnsi"/>
          <w:b/>
          <w:bCs/>
          <w:sz w:val="26"/>
          <w:szCs w:val="26"/>
          <w:lang w:eastAsia="en-US"/>
        </w:rPr>
      </w:pPr>
    </w:p>
    <w:p w14:paraId="7E65A1C4" w14:textId="77777777" w:rsidR="00743494" w:rsidRDefault="00AD21E7" w:rsidP="001C2E6E">
      <w:pPr>
        <w:jc w:val="center"/>
        <w:rPr>
          <w:b/>
          <w:sz w:val="26"/>
          <w:szCs w:val="26"/>
          <w:lang w:eastAsia="en-US"/>
        </w:rPr>
      </w:pPr>
      <w:r w:rsidRPr="00AD21E7">
        <w:rPr>
          <w:rFonts w:eastAsiaTheme="minorHAnsi"/>
          <w:b/>
          <w:bCs/>
          <w:sz w:val="26"/>
          <w:szCs w:val="26"/>
          <w:lang w:eastAsia="en-US"/>
        </w:rPr>
        <w:t xml:space="preserve">Limbažu novada </w:t>
      </w:r>
      <w:r w:rsidRPr="00AD21E7">
        <w:rPr>
          <w:b/>
          <w:sz w:val="26"/>
          <w:szCs w:val="26"/>
          <w:lang w:eastAsia="en-US"/>
        </w:rPr>
        <w:t xml:space="preserve">bāriņtiesas </w:t>
      </w:r>
    </w:p>
    <w:p w14:paraId="68C622A1" w14:textId="019CFB69" w:rsidR="00AD21E7" w:rsidRPr="00AD21E7" w:rsidRDefault="00330AD5" w:rsidP="001C2E6E">
      <w:pPr>
        <w:jc w:val="center"/>
        <w:rPr>
          <w:b/>
          <w:sz w:val="26"/>
          <w:szCs w:val="26"/>
          <w:lang w:eastAsia="en-US"/>
        </w:rPr>
      </w:pPr>
      <w:r>
        <w:rPr>
          <w:b/>
          <w:sz w:val="26"/>
          <w:szCs w:val="26"/>
          <w:lang w:eastAsia="en-US"/>
        </w:rPr>
        <w:t xml:space="preserve">bāriņtiesas </w:t>
      </w:r>
      <w:r w:rsidR="00AD21E7" w:rsidRPr="00AD21E7">
        <w:rPr>
          <w:b/>
          <w:sz w:val="26"/>
          <w:szCs w:val="26"/>
          <w:lang w:eastAsia="en-US"/>
        </w:rPr>
        <w:t>locekļa amata kandidātu</w:t>
      </w:r>
    </w:p>
    <w:p w14:paraId="142B58D3" w14:textId="77777777" w:rsidR="00AD21E7" w:rsidRPr="00AD21E7" w:rsidRDefault="00AD21E7" w:rsidP="00AD21E7">
      <w:pPr>
        <w:spacing w:line="259" w:lineRule="auto"/>
        <w:jc w:val="center"/>
        <w:rPr>
          <w:rFonts w:eastAsiaTheme="minorHAnsi"/>
          <w:b/>
          <w:bCs/>
          <w:sz w:val="26"/>
          <w:szCs w:val="26"/>
          <w:lang w:eastAsia="en-US"/>
        </w:rPr>
      </w:pPr>
      <w:r w:rsidRPr="00AD21E7">
        <w:rPr>
          <w:b/>
          <w:sz w:val="26"/>
          <w:szCs w:val="26"/>
          <w:lang w:eastAsia="en-US"/>
        </w:rPr>
        <w:t xml:space="preserve"> atlases atklātā konkursa</w:t>
      </w:r>
      <w:r w:rsidRPr="00AD21E7">
        <w:rPr>
          <w:rFonts w:eastAsiaTheme="minorHAnsi"/>
          <w:b/>
          <w:bCs/>
          <w:sz w:val="26"/>
          <w:szCs w:val="26"/>
          <w:lang w:eastAsia="en-US"/>
        </w:rPr>
        <w:t xml:space="preserve"> nolikums</w:t>
      </w:r>
    </w:p>
    <w:p w14:paraId="10489845" w14:textId="216930F8" w:rsidR="00AD21E7" w:rsidRPr="00AD21E7" w:rsidRDefault="00AD21E7" w:rsidP="00BE0AC3">
      <w:pPr>
        <w:spacing w:line="259" w:lineRule="auto"/>
        <w:rPr>
          <w:rFonts w:eastAsiaTheme="minorHAnsi"/>
          <w:b/>
          <w:bCs/>
          <w:lang w:eastAsia="en-US"/>
        </w:rPr>
      </w:pPr>
    </w:p>
    <w:p w14:paraId="4C064D68" w14:textId="77777777" w:rsidR="00AD21E7" w:rsidRPr="00AD21E7" w:rsidRDefault="00AD21E7" w:rsidP="00AD21E7">
      <w:pPr>
        <w:spacing w:line="259" w:lineRule="auto"/>
        <w:jc w:val="center"/>
        <w:rPr>
          <w:rFonts w:eastAsiaTheme="minorHAnsi"/>
          <w:b/>
          <w:bCs/>
          <w:lang w:eastAsia="en-US"/>
        </w:rPr>
      </w:pPr>
      <w:r w:rsidRPr="00AD21E7">
        <w:rPr>
          <w:rFonts w:eastAsiaTheme="minorHAnsi"/>
          <w:b/>
          <w:bCs/>
          <w:lang w:eastAsia="en-US"/>
        </w:rPr>
        <w:t>I. Mērķis un vispārīgie jautājumi</w:t>
      </w:r>
    </w:p>
    <w:p w14:paraId="28D46D6B" w14:textId="77777777" w:rsidR="00AD21E7" w:rsidRPr="00AD21E7" w:rsidRDefault="00AD21E7" w:rsidP="00AD21E7">
      <w:pPr>
        <w:ind w:left="426" w:hanging="426"/>
        <w:jc w:val="center"/>
        <w:rPr>
          <w:rFonts w:eastAsiaTheme="minorHAnsi"/>
          <w:b/>
          <w:bCs/>
          <w:lang w:eastAsia="en-US"/>
        </w:rPr>
      </w:pPr>
    </w:p>
    <w:p w14:paraId="78766527" w14:textId="77777777" w:rsidR="00AD21E7" w:rsidRPr="00AD21E7" w:rsidRDefault="00AD21E7" w:rsidP="00AD21E7">
      <w:pPr>
        <w:numPr>
          <w:ilvl w:val="0"/>
          <w:numId w:val="2"/>
        </w:numPr>
        <w:spacing w:after="160" w:line="259" w:lineRule="auto"/>
        <w:ind w:left="426" w:hanging="426"/>
        <w:contextualSpacing/>
        <w:jc w:val="both"/>
        <w:rPr>
          <w:rFonts w:eastAsiaTheme="minorHAnsi"/>
          <w:lang w:eastAsia="en-US"/>
        </w:rPr>
      </w:pPr>
      <w:r w:rsidRPr="00AD21E7">
        <w:rPr>
          <w:rFonts w:eastAsiaTheme="minorHAnsi"/>
          <w:lang w:eastAsia="en-US"/>
        </w:rPr>
        <w:t>Nolikums nosaka kārtību, kādā tiek organizēts atklātais konkurss uz Limbažu novada pašvaldības (turpmāk – Pašvaldība) iestādes “Limbažu novada bāriņtiesa” (turpmāk – Bāriņtiesa) bāriņtiesas locekļa amatu (turpmāk – Atlase), Atlases izsludināšanas un norises kārtību, kā arī pretendentu iesniegto pieteikumu vērtēšanas kārtību.</w:t>
      </w:r>
    </w:p>
    <w:p w14:paraId="71138DB7" w14:textId="77777777" w:rsidR="00AD21E7" w:rsidRPr="00AD21E7" w:rsidRDefault="00AD21E7" w:rsidP="00AD21E7">
      <w:pPr>
        <w:numPr>
          <w:ilvl w:val="0"/>
          <w:numId w:val="2"/>
        </w:numPr>
        <w:spacing w:after="160" w:line="259" w:lineRule="auto"/>
        <w:ind w:left="426" w:hanging="426"/>
        <w:contextualSpacing/>
        <w:jc w:val="both"/>
        <w:rPr>
          <w:rFonts w:eastAsiaTheme="minorHAnsi"/>
          <w:lang w:eastAsia="en-US"/>
        </w:rPr>
      </w:pPr>
      <w:r w:rsidRPr="00AD21E7">
        <w:rPr>
          <w:rFonts w:eastAsiaTheme="minorHAnsi"/>
          <w:lang w:eastAsia="en-US"/>
        </w:rPr>
        <w:t>Atlases mērķis ir izvēlēties atbilstošāko un piemērotāko pretendentu bāriņtiesas locekļa amatam.</w:t>
      </w:r>
    </w:p>
    <w:p w14:paraId="16308BC3" w14:textId="77777777" w:rsidR="00AD21E7" w:rsidRPr="00AD21E7" w:rsidRDefault="00AD21E7" w:rsidP="00AD21E7">
      <w:pPr>
        <w:numPr>
          <w:ilvl w:val="0"/>
          <w:numId w:val="2"/>
        </w:numPr>
        <w:spacing w:after="160" w:line="259" w:lineRule="auto"/>
        <w:ind w:left="426" w:hanging="426"/>
        <w:contextualSpacing/>
        <w:jc w:val="both"/>
        <w:rPr>
          <w:rFonts w:eastAsiaTheme="minorHAnsi"/>
          <w:lang w:eastAsia="en-US"/>
        </w:rPr>
      </w:pPr>
      <w:r w:rsidRPr="00AD21E7">
        <w:rPr>
          <w:rFonts w:eastAsiaTheme="minorHAnsi"/>
          <w:lang w:eastAsia="en-US"/>
        </w:rPr>
        <w:t>Atlases uzdevums ir izvērtēt pretendentu profesionālo sagatavotību un atbilstību prasībām bāriņtiesas locekļa amatam.</w:t>
      </w:r>
    </w:p>
    <w:p w14:paraId="5F6E6911" w14:textId="77777777" w:rsidR="00AD21E7" w:rsidRPr="00AD21E7" w:rsidRDefault="00AD21E7" w:rsidP="00AD21E7">
      <w:pPr>
        <w:numPr>
          <w:ilvl w:val="0"/>
          <w:numId w:val="2"/>
        </w:numPr>
        <w:spacing w:after="160" w:line="259" w:lineRule="auto"/>
        <w:ind w:left="426" w:hanging="426"/>
        <w:contextualSpacing/>
        <w:jc w:val="both"/>
        <w:rPr>
          <w:rFonts w:eastAsiaTheme="minorHAnsi"/>
          <w:lang w:eastAsia="en-US"/>
        </w:rPr>
      </w:pPr>
      <w:r w:rsidRPr="00AD21E7">
        <w:rPr>
          <w:rFonts w:eastAsiaTheme="minorHAnsi"/>
          <w:lang w:eastAsia="en-US"/>
        </w:rPr>
        <w:t xml:space="preserve">Atlase tiek izsludināta Pašvaldības mājaslapā </w:t>
      </w:r>
      <w:hyperlink r:id="rId9" w:history="1">
        <w:r w:rsidRPr="00AD21E7">
          <w:rPr>
            <w:rFonts w:eastAsiaTheme="minorHAnsi"/>
            <w:b/>
            <w:lang w:eastAsia="en-US"/>
          </w:rPr>
          <w:t>www.limbazunovads.lv</w:t>
        </w:r>
      </w:hyperlink>
      <w:r w:rsidRPr="00AD21E7">
        <w:rPr>
          <w:rFonts w:eastAsiaTheme="minorHAnsi"/>
          <w:lang w:eastAsia="en-US"/>
        </w:rPr>
        <w:t>,</w:t>
      </w:r>
      <w:r w:rsidRPr="00AD21E7">
        <w:rPr>
          <w:rFonts w:eastAsiaTheme="minorHAnsi"/>
          <w:color w:val="0563C1" w:themeColor="hyperlink"/>
          <w:lang w:eastAsia="en-US"/>
        </w:rPr>
        <w:t xml:space="preserve"> </w:t>
      </w:r>
      <w:r w:rsidRPr="00AD21E7">
        <w:rPr>
          <w:rFonts w:eastAsiaTheme="minorHAnsi"/>
          <w:lang w:eastAsia="en-US"/>
        </w:rPr>
        <w:t xml:space="preserve">Nodarbinātības valsts aģentūras mājaslapā </w:t>
      </w:r>
      <w:r w:rsidRPr="00AD21E7">
        <w:rPr>
          <w:rFonts w:eastAsiaTheme="minorHAnsi"/>
          <w:b/>
          <w:bCs/>
          <w:lang w:eastAsia="en-US"/>
        </w:rPr>
        <w:t>www.nva.gov.lv</w:t>
      </w:r>
    </w:p>
    <w:p w14:paraId="29C197FB" w14:textId="77777777" w:rsidR="00AD21E7" w:rsidRPr="00AD21E7" w:rsidRDefault="00AD21E7" w:rsidP="00AD21E7">
      <w:pPr>
        <w:jc w:val="both"/>
        <w:rPr>
          <w:rFonts w:eastAsiaTheme="minorHAnsi"/>
          <w:lang w:eastAsia="en-US"/>
        </w:rPr>
      </w:pPr>
    </w:p>
    <w:p w14:paraId="10E16E48" w14:textId="77777777" w:rsidR="00BE0AC3" w:rsidRPr="00BE0AC3" w:rsidRDefault="00BE0AC3" w:rsidP="00BE0AC3">
      <w:pPr>
        <w:spacing w:after="160" w:line="259" w:lineRule="auto"/>
        <w:jc w:val="center"/>
        <w:rPr>
          <w:rFonts w:eastAsiaTheme="minorHAnsi"/>
          <w:b/>
          <w:bCs/>
          <w:lang w:eastAsia="en-US"/>
        </w:rPr>
      </w:pPr>
      <w:r w:rsidRPr="00BE0AC3">
        <w:rPr>
          <w:rFonts w:eastAsiaTheme="minorHAnsi"/>
          <w:b/>
          <w:bCs/>
          <w:lang w:eastAsia="en-US"/>
        </w:rPr>
        <w:t>II. Atlases organizēšana un komisijas izveidošana</w:t>
      </w:r>
    </w:p>
    <w:p w14:paraId="33506971"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Atlases organizēšanu, norisi un pretendentu iesniegto dokumentu izvērtēšanu nodrošina:</w:t>
      </w:r>
    </w:p>
    <w:p w14:paraId="2EE9F11D"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 xml:space="preserve"> Limbažu novada pašvaldības iestādes “Limbažu novada pašvaldības Centrālā pārvalde” struktūrvienības “Personāla vadības nodaļa” atbildīgais speciālists (turpmāk  - Speciālists):</w:t>
      </w:r>
    </w:p>
    <w:p w14:paraId="5FD3AFF0" w14:textId="77777777" w:rsidR="00BE0AC3" w:rsidRPr="00BE0AC3" w:rsidRDefault="00BE0AC3" w:rsidP="00BE0AC3">
      <w:pPr>
        <w:numPr>
          <w:ilvl w:val="2"/>
          <w:numId w:val="2"/>
        </w:numPr>
        <w:spacing w:after="160" w:line="259" w:lineRule="auto"/>
        <w:contextualSpacing/>
        <w:jc w:val="both"/>
        <w:rPr>
          <w:rFonts w:eastAsiaTheme="minorHAnsi"/>
          <w:lang w:eastAsia="en-US"/>
        </w:rPr>
      </w:pPr>
      <w:r w:rsidRPr="00BE0AC3">
        <w:rPr>
          <w:rFonts w:eastAsiaTheme="minorHAnsi"/>
          <w:lang w:eastAsia="en-US"/>
        </w:rPr>
        <w:t>Atlases pirmajā kārtā veicot pretendentu iesniegto dokumentu izvērtēšanu atbilstoši darba sludinājumā un nolikumā izvirzītajām prasībām – sagatavojot vērtējumu par katra pretendenta individuālo novērtējumu atbilstoši pirmās kārtas prasībām;</w:t>
      </w:r>
    </w:p>
    <w:p w14:paraId="57117230" w14:textId="77777777" w:rsidR="00BE0AC3" w:rsidRPr="00BE0AC3" w:rsidRDefault="00BE0AC3" w:rsidP="00BE0AC3">
      <w:pPr>
        <w:numPr>
          <w:ilvl w:val="2"/>
          <w:numId w:val="2"/>
        </w:numPr>
        <w:spacing w:after="160" w:line="259" w:lineRule="auto"/>
        <w:contextualSpacing/>
        <w:jc w:val="both"/>
        <w:rPr>
          <w:rFonts w:eastAsiaTheme="minorHAnsi"/>
          <w:lang w:eastAsia="en-US"/>
        </w:rPr>
      </w:pPr>
      <w:r w:rsidRPr="00BE0AC3">
        <w:rPr>
          <w:rFonts w:eastAsiaTheme="minorHAnsi"/>
          <w:lang w:eastAsia="en-US"/>
        </w:rPr>
        <w:t>Atlases pirmajā kārtā, atbilstoši Bāriņtiesu likuma 9.panta piektajā daļā minētajām, pieprasa ziņas no Sodu reģistra (ja ir saņemta informācija par to, ka pretendents ir sodīts, pretendents atlases otrajai kārtai netiek vērtēts).</w:t>
      </w:r>
    </w:p>
    <w:p w14:paraId="535679C5"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 xml:space="preserve">       ar pašvaldības izpilddirektora lēmumu apstiprināta komisija (turpmāk – Komisija):</w:t>
      </w:r>
    </w:p>
    <w:p w14:paraId="378A6EB5" w14:textId="77777777" w:rsidR="00BE0AC3" w:rsidRPr="00BE0AC3" w:rsidRDefault="00BE0AC3" w:rsidP="00BE0AC3">
      <w:pPr>
        <w:numPr>
          <w:ilvl w:val="2"/>
          <w:numId w:val="2"/>
        </w:numPr>
        <w:spacing w:after="160" w:line="259" w:lineRule="auto"/>
        <w:contextualSpacing/>
        <w:jc w:val="both"/>
        <w:rPr>
          <w:rFonts w:eastAsiaTheme="minorHAnsi"/>
          <w:lang w:eastAsia="en-US"/>
        </w:rPr>
      </w:pPr>
      <w:r w:rsidRPr="00BE0AC3">
        <w:rPr>
          <w:rFonts w:eastAsiaTheme="minorHAnsi"/>
          <w:lang w:eastAsia="en-US"/>
        </w:rPr>
        <w:t>Atlases otrajā kārtā veicot darba intervijas (tās var notikt gan klātienē, gan tiešsaistē) ar pretendentiem, kas tiek izvirzīti pēc pirmās kārtas, ievērojot 5.1.punktā noteikto vērtējumu – katrs Komisijas loceklis pēc darba intervijas par otrai kārtai izvirzīto pretendentu sagatavo individuālo vērtējumu;</w:t>
      </w:r>
    </w:p>
    <w:p w14:paraId="54C5DE0F" w14:textId="77777777" w:rsidR="00BE0AC3" w:rsidRPr="00BE0AC3" w:rsidRDefault="00BE0AC3" w:rsidP="00BE0AC3">
      <w:pPr>
        <w:numPr>
          <w:ilvl w:val="2"/>
          <w:numId w:val="2"/>
        </w:numPr>
        <w:spacing w:after="160" w:line="259" w:lineRule="auto"/>
        <w:contextualSpacing/>
        <w:jc w:val="both"/>
        <w:rPr>
          <w:rFonts w:eastAsiaTheme="minorHAnsi"/>
          <w:lang w:eastAsia="en-US"/>
        </w:rPr>
      </w:pPr>
      <w:r w:rsidRPr="00BE0AC3">
        <w:rPr>
          <w:rFonts w:eastAsiaTheme="minorHAnsi"/>
          <w:lang w:eastAsia="en-US"/>
        </w:rPr>
        <w:t xml:space="preserve">nepieciešamības gadījumā Komisijai (visiem Komisijas locekļiem vienojoties) nosakot trešo kārtu – praktisko uzdevumu risināšanu – katrs Komisijas loceklis veic </w:t>
      </w:r>
      <w:r w:rsidRPr="00BE0AC3">
        <w:rPr>
          <w:rFonts w:eastAsiaTheme="minorHAnsi"/>
          <w:lang w:eastAsia="en-US"/>
        </w:rPr>
        <w:lastRenderedPageBreak/>
        <w:t>trešajā kārtā izvirzītā pretendenta izpildītā uzdevuma vērtējumu atbilstoši trešās kārtas prasībām.</w:t>
      </w:r>
    </w:p>
    <w:p w14:paraId="45E4CA27"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Komisijas darba organizēšana:</w:t>
      </w:r>
    </w:p>
    <w:p w14:paraId="752C18CD"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izskata un izvērtē Atlases otrajai kārtai izvirzīto iesniegto pretendentu dokumentus;</w:t>
      </w:r>
    </w:p>
    <w:p w14:paraId="37C05A1F"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nosaka darba intervijas norises datumu, laiku, vietu un veidu, Speciālistam telefoniski paziņojot par to pretendentiem, kuri ir izvirzīti otrajai kārtai;</w:t>
      </w:r>
    </w:p>
    <w:p w14:paraId="694E3598"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veic darba intervijas, nepieciešamības gadījumā veicot trešās kārtas uzdevumu izvērtēšanu;</w:t>
      </w:r>
    </w:p>
    <w:p w14:paraId="786AFC5B"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darbu veic Pašvaldības telpās (Rīgas ielā 16, Limbažos, Limbažu novadā) klātienē vai tiešsaistē;</w:t>
      </w:r>
    </w:p>
    <w:p w14:paraId="3B601DBA" w14:textId="77777777" w:rsidR="00BE0AC3" w:rsidRPr="00BE0AC3" w:rsidRDefault="00BE0AC3" w:rsidP="00BE0AC3">
      <w:pPr>
        <w:numPr>
          <w:ilvl w:val="1"/>
          <w:numId w:val="2"/>
        </w:numPr>
        <w:spacing w:after="160" w:line="259" w:lineRule="auto"/>
        <w:contextualSpacing/>
        <w:jc w:val="both"/>
        <w:rPr>
          <w:rFonts w:eastAsiaTheme="minorHAnsi"/>
          <w:lang w:eastAsia="en-US"/>
        </w:rPr>
      </w:pPr>
      <w:r w:rsidRPr="00BE0AC3">
        <w:rPr>
          <w:rFonts w:eastAsiaTheme="minorHAnsi"/>
          <w:lang w:eastAsia="en-US"/>
        </w:rPr>
        <w:t>pieņem lēmumu par atbilstošākā pretendenta izvirzīšanu bāriņtiesas locekļa amatam.</w:t>
      </w:r>
    </w:p>
    <w:p w14:paraId="71614D59"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Komisijas sēdes tiek protokolētas. Protokolu paraksta visi klātesošie Komisijas locekļi.</w:t>
      </w:r>
    </w:p>
    <w:p w14:paraId="7FA1B75F" w14:textId="5BEC5A44"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Komisijas sēdes ir slēgtas. Komisijas sēdēs var tikt pieaicināti eksperti ar padomdevēja tiesībām.</w:t>
      </w:r>
    </w:p>
    <w:p w14:paraId="5CE9F289" w14:textId="77777777" w:rsidR="00BE0AC3" w:rsidRDefault="00BE0AC3" w:rsidP="00BE0AC3">
      <w:pPr>
        <w:spacing w:after="160" w:line="259" w:lineRule="auto"/>
        <w:jc w:val="center"/>
        <w:rPr>
          <w:rFonts w:eastAsiaTheme="minorHAnsi"/>
          <w:b/>
          <w:bCs/>
          <w:lang w:eastAsia="en-US"/>
        </w:rPr>
      </w:pPr>
    </w:p>
    <w:p w14:paraId="26B89A5B" w14:textId="07DDA404" w:rsidR="00BE0AC3" w:rsidRPr="00BE0AC3" w:rsidRDefault="00BE0AC3" w:rsidP="00BE0AC3">
      <w:pPr>
        <w:spacing w:after="160" w:line="259" w:lineRule="auto"/>
        <w:jc w:val="center"/>
        <w:rPr>
          <w:rFonts w:eastAsiaTheme="minorHAnsi"/>
          <w:b/>
          <w:bCs/>
          <w:lang w:eastAsia="en-US"/>
        </w:rPr>
      </w:pPr>
      <w:r w:rsidRPr="00BE0AC3">
        <w:rPr>
          <w:rFonts w:eastAsiaTheme="minorHAnsi"/>
          <w:b/>
          <w:bCs/>
          <w:lang w:eastAsia="en-US"/>
        </w:rPr>
        <w:t>III. Atlases dalībnieki</w:t>
      </w:r>
    </w:p>
    <w:p w14:paraId="13064D42"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Atlasē var piedalīties pretendents:</w:t>
      </w:r>
    </w:p>
    <w:p w14:paraId="73CE994A"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kurš ir Latvijas Republikas pilsonis vai nepilsonis;</w:t>
      </w:r>
    </w:p>
    <w:p w14:paraId="57DBB48D"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ir sasniedzis 30 gadu vecumu;</w:t>
      </w:r>
    </w:p>
    <w:p w14:paraId="22AA6B0D"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kuram ir vismaz akadēmiskais bakalaura grāds vai profesionālais bakalaura grāds un 5. līmeņa profesionālā kvalifikācija, vai citu Latvijas izglītības klasifikācijā noteiktajam Eiropas kvalifikācijas ietvarstruktūras 6. līmenim atbilstošu kvalifikāciju pedagoģijā, psiholoģijā, medicīnā, sociālajā darbā vai tiesību zinātnē, izglītības vadībā vai sabiedrības vadībā;</w:t>
      </w:r>
    </w:p>
    <w:p w14:paraId="7ED9A5CA"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kuram ir ne mazāk kā triju gadu darba stāžs attiecīgi iegūtās izglītības tematiskajā jomā vai bāriņtiesas priekšsēdētāja, bāriņtiesas priekšsēdētāja vietnieka vai bāriņtiesas locekļa amata pienākuma pildīšanā;</w:t>
      </w:r>
    </w:p>
    <w:p w14:paraId="7EBA2EF0"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kuram ir valsts valodas zināšanas augstākajā līmenī;</w:t>
      </w:r>
    </w:p>
    <w:p w14:paraId="47A7B76E"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kuram ir nevainojama reputācija;</w:t>
      </w:r>
    </w:p>
    <w:p w14:paraId="0834D5C0" w14:textId="77777777" w:rsidR="00BE0AC3" w:rsidRPr="00BE0AC3" w:rsidRDefault="00BE0AC3" w:rsidP="00BE0AC3">
      <w:pPr>
        <w:numPr>
          <w:ilvl w:val="1"/>
          <w:numId w:val="2"/>
        </w:numPr>
        <w:spacing w:after="160" w:line="259" w:lineRule="auto"/>
        <w:ind w:hanging="508"/>
        <w:contextualSpacing/>
        <w:jc w:val="both"/>
        <w:rPr>
          <w:rFonts w:eastAsiaTheme="minorHAnsi"/>
          <w:lang w:eastAsia="en-US"/>
        </w:rPr>
      </w:pPr>
      <w:bookmarkStart w:id="0" w:name="_Hlk86675123"/>
      <w:r w:rsidRPr="00BE0AC3">
        <w:rPr>
          <w:rFonts w:eastAsiaTheme="minorHAnsi"/>
          <w:lang w:eastAsia="en-US"/>
        </w:rPr>
        <w:t>uz kuru nav attiecināms neviens no Bāriņtiesu likuma 11. pantā noteiktajiem ierobežojumiem;</w:t>
      </w:r>
    </w:p>
    <w:p w14:paraId="6DF8D19B" w14:textId="69BBECF1" w:rsidR="00BE0AC3" w:rsidRPr="00BE0AC3" w:rsidRDefault="00BE0AC3" w:rsidP="00BE0AC3">
      <w:pPr>
        <w:numPr>
          <w:ilvl w:val="1"/>
          <w:numId w:val="2"/>
        </w:numPr>
        <w:spacing w:after="160" w:line="259" w:lineRule="auto"/>
        <w:ind w:hanging="508"/>
        <w:contextualSpacing/>
        <w:jc w:val="both"/>
        <w:rPr>
          <w:rFonts w:eastAsiaTheme="minorHAnsi"/>
          <w:lang w:eastAsia="en-US"/>
        </w:rPr>
      </w:pPr>
      <w:r w:rsidRPr="00BE0AC3">
        <w:rPr>
          <w:rFonts w:eastAsiaTheme="minorHAnsi"/>
          <w:lang w:eastAsia="en-US"/>
        </w:rPr>
        <w:t>par priekšrocību tiks uzskatīta apgūta Bāriņtiesu likuma 10.panta ceturtajā daļā noteiktā pamata apmācības programma, kas noteikta</w:t>
      </w:r>
      <w:r>
        <w:rPr>
          <w:rFonts w:eastAsiaTheme="minorHAnsi"/>
          <w:lang w:eastAsia="en-US"/>
        </w:rPr>
        <w:t xml:space="preserve"> Ministru kabineta 2006.gada 5.d</w:t>
      </w:r>
      <w:r w:rsidRPr="00BE0AC3">
        <w:rPr>
          <w:rFonts w:eastAsiaTheme="minorHAnsi"/>
          <w:lang w:eastAsia="en-US"/>
        </w:rPr>
        <w:t>ecembra noteikumos Nr.984 “Noteikumi par bāriņtiesas priekšsēdētāja, bāriņtiesas priekšsēdētāja vietnieka un bāriņtiesas locekļa mācību program</w:t>
      </w:r>
      <w:r>
        <w:rPr>
          <w:rFonts w:eastAsiaTheme="minorHAnsi"/>
          <w:lang w:eastAsia="en-US"/>
        </w:rPr>
        <w:t>mas saturu un apmācības kārtību</w:t>
      </w:r>
      <w:r w:rsidRPr="00BE0AC3">
        <w:rPr>
          <w:rFonts w:eastAsiaTheme="minorHAnsi"/>
          <w:lang w:eastAsia="en-US"/>
        </w:rPr>
        <w:t>”</w:t>
      </w:r>
      <w:r>
        <w:rPr>
          <w:rFonts w:eastAsiaTheme="minorHAnsi"/>
          <w:lang w:eastAsia="en-US"/>
        </w:rPr>
        <w:t>;</w:t>
      </w:r>
    </w:p>
    <w:p w14:paraId="7D8E239C" w14:textId="77777777" w:rsidR="00BE0AC3" w:rsidRPr="00BE0AC3" w:rsidRDefault="00BE0AC3" w:rsidP="00BE0AC3">
      <w:pPr>
        <w:numPr>
          <w:ilvl w:val="1"/>
          <w:numId w:val="2"/>
        </w:numPr>
        <w:spacing w:after="120" w:line="259" w:lineRule="auto"/>
        <w:ind w:right="284" w:hanging="508"/>
        <w:contextualSpacing/>
        <w:jc w:val="both"/>
        <w:rPr>
          <w:rFonts w:eastAsiaTheme="minorHAnsi"/>
          <w:lang w:eastAsia="en-US"/>
        </w:rPr>
      </w:pPr>
      <w:bookmarkStart w:id="1" w:name="_Hlk86675149"/>
      <w:bookmarkEnd w:id="0"/>
      <w:r w:rsidRPr="00BE0AC3">
        <w:rPr>
          <w:rFonts w:eastAsiaTheme="minorHAnsi"/>
          <w:lang w:eastAsia="en-US"/>
        </w:rPr>
        <w:t>vēlama B kategorijas auto vadītāja apliecība;</w:t>
      </w:r>
    </w:p>
    <w:bookmarkEnd w:id="1"/>
    <w:p w14:paraId="50F92510" w14:textId="77777777" w:rsidR="00BE0AC3" w:rsidRPr="00BE0AC3" w:rsidRDefault="00BE0AC3" w:rsidP="00BE0AC3">
      <w:pPr>
        <w:numPr>
          <w:ilvl w:val="1"/>
          <w:numId w:val="2"/>
        </w:numPr>
        <w:spacing w:after="160" w:line="259" w:lineRule="auto"/>
        <w:ind w:left="851" w:hanging="567"/>
        <w:contextualSpacing/>
        <w:jc w:val="both"/>
        <w:rPr>
          <w:rFonts w:eastAsiaTheme="minorHAnsi"/>
          <w:lang w:eastAsia="en-US"/>
        </w:rPr>
      </w:pPr>
      <w:r w:rsidRPr="00BE0AC3">
        <w:rPr>
          <w:rFonts w:eastAsiaTheme="minorHAnsi"/>
          <w:lang w:eastAsia="en-US"/>
        </w:rPr>
        <w:t xml:space="preserve"> </w:t>
      </w:r>
      <w:bookmarkStart w:id="2" w:name="_Hlk86675215"/>
      <w:r w:rsidRPr="00BE0AC3">
        <w:rPr>
          <w:rFonts w:eastAsiaTheme="minorHAnsi"/>
          <w:lang w:eastAsia="en-US"/>
        </w:rPr>
        <w:t>kuram ir šādas kompetences: labas komunikācijas un saskarsmes spējas; spēja strādāt paaugstinātas intensitātes apstākļos; spēja patstāvīgi organizēt savu darbu un strādāt komandā; spēja analītiski domāt, būt precīzam darbu izpildē; spēja pieņemt lēmumus un uzņemties atbildību; strādāt ar lielu informācijas apjomu; normatīvo aktu pārzināšana amatam noteikto  uzdevumu īstenošanai.</w:t>
      </w:r>
    </w:p>
    <w:bookmarkEnd w:id="2"/>
    <w:p w14:paraId="010FA75D"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 xml:space="preserve"> Pretendenti noteiktajā termiņā nosūta pieteikumu, kas satur šādus dokumentus:</w:t>
      </w:r>
    </w:p>
    <w:p w14:paraId="50945860"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profesionālās darbības aprakstu</w:t>
      </w:r>
      <w:r w:rsidRPr="00BE0AC3">
        <w:rPr>
          <w:rFonts w:eastAsiaTheme="minorHAnsi" w:cstheme="minorBidi"/>
          <w:lang w:eastAsia="en-US"/>
        </w:rPr>
        <w:t xml:space="preserve"> (CV);</w:t>
      </w:r>
    </w:p>
    <w:p w14:paraId="660F408D"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w:t>
      </w:r>
      <w:r w:rsidRPr="00BE0AC3">
        <w:rPr>
          <w:rFonts w:eastAsiaTheme="minorHAnsi" w:cstheme="minorBidi"/>
          <w:lang w:eastAsia="en-US"/>
        </w:rPr>
        <w:t xml:space="preserve">izglītību apliecinošu dokumentu kopijas; </w:t>
      </w:r>
    </w:p>
    <w:p w14:paraId="722C592E"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cstheme="minorBidi"/>
          <w:lang w:eastAsia="en-US"/>
        </w:rPr>
        <w:t xml:space="preserve"> motivācijas vēstuli;</w:t>
      </w:r>
    </w:p>
    <w:p w14:paraId="2A66327F"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cstheme="minorBidi"/>
          <w:lang w:eastAsia="en-US"/>
        </w:rPr>
        <w:t>valsts valodas prasmi apliecinoša dokumenta kopija (nepilsoņiem);</w:t>
      </w:r>
    </w:p>
    <w:p w14:paraId="2DAC047C"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apliecinājumu, ka uz pretendentu neattiecas Bāriņtiesu likuma 11.pantā noteiktie ierobežojumi ieņemt attiecīgo amatu;</w:t>
      </w:r>
    </w:p>
    <w:p w14:paraId="3B34D46D"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citus </w:t>
      </w:r>
      <w:r w:rsidRPr="00BE0AC3">
        <w:rPr>
          <w:rFonts w:eastAsia="Batang"/>
          <w:lang w:eastAsia="en-US"/>
        </w:rPr>
        <w:t>dokumentus, kurus pretendents uzskata par nepieciešamu pievienot.</w:t>
      </w:r>
    </w:p>
    <w:p w14:paraId="74C62918" w14:textId="262463C2"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lastRenderedPageBreak/>
        <w:t xml:space="preserve">Pieteikums jāiesniedz līdz </w:t>
      </w:r>
      <w:r w:rsidRPr="00BE0AC3">
        <w:rPr>
          <w:rFonts w:eastAsiaTheme="minorHAnsi"/>
          <w:b/>
          <w:bCs/>
          <w:lang w:eastAsia="en-US"/>
        </w:rPr>
        <w:t>202</w:t>
      </w:r>
      <w:r w:rsidR="007F4798">
        <w:rPr>
          <w:rFonts w:eastAsiaTheme="minorHAnsi"/>
          <w:b/>
          <w:bCs/>
          <w:lang w:eastAsia="en-US"/>
        </w:rPr>
        <w:t>5</w:t>
      </w:r>
      <w:r w:rsidRPr="00BE0AC3">
        <w:rPr>
          <w:rFonts w:eastAsiaTheme="minorHAnsi"/>
          <w:b/>
          <w:bCs/>
          <w:lang w:eastAsia="en-US"/>
        </w:rPr>
        <w:t>.</w:t>
      </w:r>
      <w:r>
        <w:rPr>
          <w:rFonts w:eastAsiaTheme="minorHAnsi"/>
          <w:b/>
          <w:bCs/>
          <w:lang w:eastAsia="en-US"/>
        </w:rPr>
        <w:t xml:space="preserve"> </w:t>
      </w:r>
      <w:r w:rsidRPr="00BE0AC3">
        <w:rPr>
          <w:rFonts w:eastAsiaTheme="minorHAnsi"/>
          <w:b/>
          <w:bCs/>
          <w:lang w:eastAsia="en-US"/>
        </w:rPr>
        <w:t xml:space="preserve">gada </w:t>
      </w:r>
      <w:r w:rsidR="00044DFB">
        <w:rPr>
          <w:rFonts w:eastAsiaTheme="minorHAnsi"/>
          <w:b/>
          <w:bCs/>
          <w:lang w:eastAsia="en-US"/>
        </w:rPr>
        <w:t>3</w:t>
      </w:r>
      <w:r w:rsidR="00743494">
        <w:rPr>
          <w:rFonts w:eastAsiaTheme="minorHAnsi"/>
          <w:b/>
          <w:bCs/>
          <w:lang w:eastAsia="en-US"/>
        </w:rPr>
        <w:t>0. jū</w:t>
      </w:r>
      <w:r w:rsidR="00044DFB">
        <w:rPr>
          <w:rFonts w:eastAsiaTheme="minorHAnsi"/>
          <w:b/>
          <w:bCs/>
          <w:lang w:eastAsia="en-US"/>
        </w:rPr>
        <w:t>ni</w:t>
      </w:r>
      <w:r w:rsidR="00743494">
        <w:rPr>
          <w:rFonts w:eastAsiaTheme="minorHAnsi"/>
          <w:b/>
          <w:bCs/>
          <w:lang w:eastAsia="en-US"/>
        </w:rPr>
        <w:t>jam</w:t>
      </w:r>
      <w:r w:rsidRPr="00BE0AC3">
        <w:rPr>
          <w:rFonts w:eastAsiaTheme="minorHAnsi"/>
          <w:b/>
          <w:bCs/>
          <w:lang w:eastAsia="en-US"/>
        </w:rPr>
        <w:t>, plkst.</w:t>
      </w:r>
      <w:r>
        <w:rPr>
          <w:rFonts w:eastAsiaTheme="minorHAnsi"/>
          <w:b/>
          <w:bCs/>
          <w:lang w:eastAsia="en-US"/>
        </w:rPr>
        <w:t xml:space="preserve"> </w:t>
      </w:r>
      <w:r w:rsidRPr="00BE0AC3">
        <w:rPr>
          <w:rFonts w:eastAsiaTheme="minorHAnsi"/>
          <w:b/>
          <w:bCs/>
          <w:lang w:eastAsia="en-US"/>
        </w:rPr>
        <w:t>1</w:t>
      </w:r>
      <w:r w:rsidR="007F4798">
        <w:rPr>
          <w:rFonts w:eastAsiaTheme="minorHAnsi"/>
          <w:b/>
          <w:bCs/>
          <w:lang w:eastAsia="en-US"/>
        </w:rPr>
        <w:t>7</w:t>
      </w:r>
      <w:r w:rsidRPr="00BE0AC3">
        <w:rPr>
          <w:rFonts w:eastAsiaTheme="minorHAnsi"/>
          <w:b/>
          <w:bCs/>
          <w:lang w:eastAsia="en-US"/>
        </w:rPr>
        <w:t>.00</w:t>
      </w:r>
    </w:p>
    <w:p w14:paraId="71237334" w14:textId="77777777" w:rsidR="00BE0AC3" w:rsidRPr="00BE0AC3" w:rsidRDefault="00BE0AC3" w:rsidP="00BE0AC3">
      <w:pPr>
        <w:spacing w:after="160" w:line="259" w:lineRule="auto"/>
        <w:ind w:left="360"/>
        <w:contextualSpacing/>
        <w:jc w:val="both"/>
        <w:rPr>
          <w:rFonts w:eastAsiaTheme="minorHAnsi"/>
          <w:lang w:eastAsia="en-US"/>
        </w:rPr>
      </w:pPr>
    </w:p>
    <w:p w14:paraId="78078AE6" w14:textId="77777777" w:rsidR="00BE0AC3" w:rsidRPr="00BE0AC3" w:rsidRDefault="00BE0AC3" w:rsidP="00BE0AC3">
      <w:pPr>
        <w:spacing w:after="160" w:line="259" w:lineRule="auto"/>
        <w:ind w:left="658"/>
        <w:contextualSpacing/>
        <w:jc w:val="center"/>
        <w:rPr>
          <w:rFonts w:eastAsiaTheme="minorHAnsi"/>
          <w:b/>
          <w:bCs/>
          <w:lang w:eastAsia="en-US"/>
        </w:rPr>
      </w:pPr>
      <w:r w:rsidRPr="00BE0AC3">
        <w:rPr>
          <w:rFonts w:eastAsiaTheme="minorHAnsi"/>
          <w:b/>
          <w:bCs/>
          <w:lang w:eastAsia="en-US"/>
        </w:rPr>
        <w:t>IV. Pieteikumu izskatīšana, vērtēšanas kritēriji, lēmuma pieņemšana</w:t>
      </w:r>
    </w:p>
    <w:p w14:paraId="546880E1" w14:textId="77777777" w:rsidR="00BE0AC3" w:rsidRPr="00BE0AC3" w:rsidRDefault="00BE0AC3" w:rsidP="00BE0AC3">
      <w:pPr>
        <w:spacing w:after="160" w:line="259" w:lineRule="auto"/>
        <w:ind w:left="658"/>
        <w:contextualSpacing/>
        <w:jc w:val="center"/>
        <w:rPr>
          <w:rFonts w:eastAsiaTheme="minorHAnsi"/>
          <w:lang w:eastAsia="en-US"/>
        </w:rPr>
      </w:pPr>
    </w:p>
    <w:p w14:paraId="48252429"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Netiek izvērtēti pieteikumi, kuri saņemti pēc darba sludinājumā un šī nolikuma 11.punktā noteiktā termiņa, kā arī nesatur visus nolikuma 10.punktā noteiktos dokumentus.</w:t>
      </w:r>
    </w:p>
    <w:p w14:paraId="53E90C5D"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Pieteikumu ar norādi “Konkursam uz Limbažu novada bāriņtiesas locekļa amatu” var iesniegt:</w:t>
      </w:r>
    </w:p>
    <w:p w14:paraId="2E8C32F6" w14:textId="415D9BF9"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Pr>
          <w:rFonts w:eastAsiaTheme="minorHAnsi"/>
          <w:lang w:eastAsia="en-US"/>
        </w:rPr>
        <w:t xml:space="preserve"> </w:t>
      </w:r>
      <w:r w:rsidRPr="00BE0AC3">
        <w:rPr>
          <w:rFonts w:eastAsiaTheme="minorHAnsi"/>
          <w:lang w:eastAsia="en-US"/>
        </w:rPr>
        <w:t>sūtot pa pastu tā, lai Limbažu novada pašvaldībā tas tiktu saņemts darba sludinājumā un nolikumā noteiktajā termiņā, norādot adresātu - Limbažu novada pašvaldība, Rīgas iela 16, Limbaži, Limbažu novads, LV-4001;</w:t>
      </w:r>
    </w:p>
    <w:p w14:paraId="538BE5C7" w14:textId="77777777"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Limbažu novada pašvaldības </w:t>
      </w:r>
      <w:r w:rsidRPr="00BE0AC3">
        <w:rPr>
          <w:rFonts w:eastAsiaTheme="minorHAnsi" w:cstheme="minorBidi"/>
          <w:lang w:eastAsia="en-US"/>
        </w:rPr>
        <w:t>Klientu apkalpošanas centrā, Limbažos, Rīgas ielā 16 (1. stāvā)</w:t>
      </w:r>
      <w:r w:rsidRPr="00BE0AC3">
        <w:rPr>
          <w:rFonts w:eastAsiaTheme="minorHAnsi"/>
          <w:lang w:eastAsia="en-US"/>
        </w:rPr>
        <w:t>;</w:t>
      </w:r>
    </w:p>
    <w:p w14:paraId="38FAD80A" w14:textId="390DEEC8" w:rsidR="00BE0AC3" w:rsidRPr="00BE0AC3" w:rsidRDefault="00BE0AC3" w:rsidP="00BE0AC3">
      <w:pPr>
        <w:numPr>
          <w:ilvl w:val="1"/>
          <w:numId w:val="2"/>
        </w:numPr>
        <w:spacing w:after="160" w:line="259" w:lineRule="auto"/>
        <w:ind w:left="658" w:hanging="431"/>
        <w:contextualSpacing/>
        <w:jc w:val="both"/>
        <w:rPr>
          <w:rFonts w:eastAsiaTheme="minorHAnsi"/>
          <w:lang w:eastAsia="en-US"/>
        </w:rPr>
      </w:pPr>
      <w:r w:rsidRPr="00BE0AC3">
        <w:rPr>
          <w:rFonts w:eastAsiaTheme="minorHAnsi"/>
          <w:lang w:eastAsia="en-US"/>
        </w:rPr>
        <w:t xml:space="preserve"> ar drošu elektronisko parakstu parakstītu, iesūtot e-pastā</w:t>
      </w:r>
      <w:r>
        <w:rPr>
          <w:rFonts w:eastAsiaTheme="minorHAnsi"/>
          <w:lang w:eastAsia="en-US"/>
        </w:rPr>
        <w:t>:</w:t>
      </w:r>
      <w:r w:rsidRPr="00BE0AC3">
        <w:rPr>
          <w:rFonts w:eastAsiaTheme="minorHAnsi"/>
          <w:lang w:eastAsia="en-US"/>
        </w:rPr>
        <w:t xml:space="preserve">  </w:t>
      </w:r>
      <w:hyperlink r:id="rId10" w:history="1">
        <w:r w:rsidRPr="00BE0AC3">
          <w:rPr>
            <w:rFonts w:eastAsiaTheme="minorHAnsi"/>
            <w:color w:val="0563C1" w:themeColor="hyperlink"/>
            <w:u w:val="single"/>
            <w:lang w:eastAsia="en-US"/>
          </w:rPr>
          <w:t>vakance@limbazunovads.lv</w:t>
        </w:r>
      </w:hyperlink>
    </w:p>
    <w:p w14:paraId="0A3EBBD2"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Pirmajā kārtā Specialists pēc pieteikuma iesniegšanas termiņa beigām trīs darba dienu laikā atlasa tos pieteikumus, kuri satur visus pretendentu atlasei nepieciešamos dokumentus (10.punkts) un  izvērtē iesniegto dokumentu atbilstību šajā punktā noteiktajiem vērtēšanas kritērijiem:</w:t>
      </w:r>
    </w:p>
    <w:tbl>
      <w:tblPr>
        <w:tblStyle w:val="Reatabula"/>
        <w:tblW w:w="0" w:type="auto"/>
        <w:tblLook w:val="04A0" w:firstRow="1" w:lastRow="0" w:firstColumn="1" w:lastColumn="0" w:noHBand="0" w:noVBand="1"/>
      </w:tblPr>
      <w:tblGrid>
        <w:gridCol w:w="675"/>
        <w:gridCol w:w="5205"/>
        <w:gridCol w:w="2942"/>
      </w:tblGrid>
      <w:tr w:rsidR="00BE0AC3" w:rsidRPr="00BE0AC3" w14:paraId="0BF1DFD9" w14:textId="77777777" w:rsidTr="00013ED2">
        <w:tc>
          <w:tcPr>
            <w:tcW w:w="675" w:type="dxa"/>
          </w:tcPr>
          <w:p w14:paraId="23B82602" w14:textId="77777777" w:rsidR="00BE0AC3" w:rsidRPr="00BE0AC3" w:rsidRDefault="00BE0AC3" w:rsidP="00BE0AC3">
            <w:pPr>
              <w:contextualSpacing/>
              <w:jc w:val="center"/>
              <w:rPr>
                <w:rFonts w:eastAsia="Calibri"/>
                <w:b/>
                <w:sz w:val="22"/>
                <w:szCs w:val="22"/>
              </w:rPr>
            </w:pPr>
            <w:r w:rsidRPr="00BE0AC3">
              <w:rPr>
                <w:rFonts w:eastAsia="Calibri"/>
                <w:b/>
                <w:sz w:val="22"/>
                <w:szCs w:val="22"/>
              </w:rPr>
              <w:t>Nr. P.k.</w:t>
            </w:r>
          </w:p>
        </w:tc>
        <w:tc>
          <w:tcPr>
            <w:tcW w:w="5205" w:type="dxa"/>
          </w:tcPr>
          <w:p w14:paraId="6A96CF79" w14:textId="77777777" w:rsidR="00BE0AC3" w:rsidRPr="00BE0AC3" w:rsidRDefault="00BE0AC3" w:rsidP="00BE0AC3">
            <w:pPr>
              <w:contextualSpacing/>
              <w:jc w:val="center"/>
              <w:rPr>
                <w:rFonts w:eastAsia="Calibri"/>
                <w:b/>
                <w:sz w:val="22"/>
                <w:szCs w:val="22"/>
              </w:rPr>
            </w:pPr>
            <w:r w:rsidRPr="00BE0AC3">
              <w:rPr>
                <w:rFonts w:eastAsia="Calibri"/>
                <w:b/>
                <w:sz w:val="22"/>
                <w:szCs w:val="22"/>
              </w:rPr>
              <w:t>Vērtēšanas kritērijs</w:t>
            </w:r>
          </w:p>
        </w:tc>
        <w:tc>
          <w:tcPr>
            <w:tcW w:w="2942" w:type="dxa"/>
          </w:tcPr>
          <w:p w14:paraId="36A2505D" w14:textId="77777777" w:rsidR="00BE0AC3" w:rsidRPr="00BE0AC3" w:rsidRDefault="00BE0AC3" w:rsidP="00BE0AC3">
            <w:pPr>
              <w:contextualSpacing/>
              <w:jc w:val="center"/>
              <w:rPr>
                <w:rFonts w:eastAsia="Calibri"/>
                <w:b/>
                <w:sz w:val="22"/>
                <w:szCs w:val="22"/>
              </w:rPr>
            </w:pPr>
            <w:r w:rsidRPr="00BE0AC3">
              <w:rPr>
                <w:rFonts w:eastAsia="Calibri"/>
                <w:b/>
                <w:sz w:val="22"/>
                <w:szCs w:val="22"/>
              </w:rPr>
              <w:t>Atbilstība</w:t>
            </w:r>
          </w:p>
        </w:tc>
      </w:tr>
      <w:tr w:rsidR="00BE0AC3" w:rsidRPr="00BE0AC3" w14:paraId="597C2DF3" w14:textId="77777777" w:rsidTr="00013ED2">
        <w:tc>
          <w:tcPr>
            <w:tcW w:w="675" w:type="dxa"/>
          </w:tcPr>
          <w:p w14:paraId="59253610" w14:textId="77777777" w:rsidR="00BE0AC3" w:rsidRPr="00BE0AC3" w:rsidRDefault="00BE0AC3" w:rsidP="00BE0AC3">
            <w:pPr>
              <w:contextualSpacing/>
              <w:jc w:val="center"/>
              <w:rPr>
                <w:rFonts w:eastAsia="Calibri"/>
                <w:sz w:val="22"/>
                <w:szCs w:val="22"/>
              </w:rPr>
            </w:pPr>
            <w:r w:rsidRPr="00BE0AC3">
              <w:rPr>
                <w:rFonts w:eastAsia="Calibri"/>
                <w:sz w:val="22"/>
                <w:szCs w:val="22"/>
              </w:rPr>
              <w:t>1.</w:t>
            </w:r>
          </w:p>
        </w:tc>
        <w:tc>
          <w:tcPr>
            <w:tcW w:w="5205" w:type="dxa"/>
          </w:tcPr>
          <w:p w14:paraId="0397E06E" w14:textId="77777777" w:rsidR="00BE0AC3" w:rsidRPr="00BE0AC3" w:rsidRDefault="00BE0AC3" w:rsidP="00BE0AC3">
            <w:pPr>
              <w:contextualSpacing/>
              <w:jc w:val="center"/>
              <w:rPr>
                <w:rFonts w:eastAsia="Calibri"/>
                <w:b/>
                <w:sz w:val="22"/>
                <w:szCs w:val="22"/>
              </w:rPr>
            </w:pPr>
            <w:r w:rsidRPr="00BE0AC3">
              <w:rPr>
                <w:rFonts w:eastAsia="Calibri"/>
                <w:sz w:val="22"/>
                <w:szCs w:val="22"/>
              </w:rPr>
              <w:t>Latvijas Republikas pilsonis vai nepilsonis</w:t>
            </w:r>
          </w:p>
        </w:tc>
        <w:tc>
          <w:tcPr>
            <w:tcW w:w="2942" w:type="dxa"/>
          </w:tcPr>
          <w:p w14:paraId="74897C8D" w14:textId="77777777" w:rsidR="00BE0AC3" w:rsidRPr="00BE0AC3" w:rsidRDefault="00BE0AC3" w:rsidP="00BE0AC3">
            <w:pPr>
              <w:contextualSpacing/>
              <w:jc w:val="center"/>
              <w:rPr>
                <w:rFonts w:eastAsia="Calibri"/>
                <w:sz w:val="22"/>
                <w:szCs w:val="22"/>
              </w:rPr>
            </w:pPr>
            <w:r w:rsidRPr="00BE0AC3">
              <w:rPr>
                <w:rFonts w:eastAsia="Calibri"/>
                <w:sz w:val="22"/>
                <w:szCs w:val="22"/>
              </w:rPr>
              <w:t>Atbilst/neatbilst</w:t>
            </w:r>
          </w:p>
        </w:tc>
      </w:tr>
      <w:tr w:rsidR="00BE0AC3" w:rsidRPr="00BE0AC3" w14:paraId="761AC3AC" w14:textId="77777777" w:rsidTr="00013ED2">
        <w:tc>
          <w:tcPr>
            <w:tcW w:w="675" w:type="dxa"/>
          </w:tcPr>
          <w:p w14:paraId="0BFB9F84" w14:textId="77777777" w:rsidR="00BE0AC3" w:rsidRPr="00BE0AC3" w:rsidRDefault="00BE0AC3" w:rsidP="00BE0AC3">
            <w:pPr>
              <w:contextualSpacing/>
              <w:jc w:val="center"/>
              <w:rPr>
                <w:rFonts w:eastAsia="Calibri"/>
                <w:sz w:val="22"/>
                <w:szCs w:val="22"/>
              </w:rPr>
            </w:pPr>
            <w:r w:rsidRPr="00BE0AC3">
              <w:rPr>
                <w:rFonts w:eastAsia="Calibri"/>
                <w:sz w:val="22"/>
                <w:szCs w:val="22"/>
              </w:rPr>
              <w:t>2.</w:t>
            </w:r>
          </w:p>
        </w:tc>
        <w:tc>
          <w:tcPr>
            <w:tcW w:w="5205" w:type="dxa"/>
          </w:tcPr>
          <w:p w14:paraId="4F23556E" w14:textId="77777777" w:rsidR="00BE0AC3" w:rsidRPr="00BE0AC3" w:rsidRDefault="00BE0AC3" w:rsidP="00BE0AC3">
            <w:pPr>
              <w:contextualSpacing/>
              <w:jc w:val="center"/>
              <w:rPr>
                <w:rFonts w:eastAsia="Calibri"/>
                <w:sz w:val="22"/>
                <w:szCs w:val="22"/>
              </w:rPr>
            </w:pPr>
            <w:r w:rsidRPr="00BE0AC3">
              <w:rPr>
                <w:rFonts w:eastAsia="Calibri"/>
                <w:sz w:val="22"/>
                <w:szCs w:val="22"/>
              </w:rPr>
              <w:t>Pretendents sasniedz 30 gadu vecumu</w:t>
            </w:r>
          </w:p>
        </w:tc>
        <w:tc>
          <w:tcPr>
            <w:tcW w:w="2942" w:type="dxa"/>
          </w:tcPr>
          <w:p w14:paraId="19914BEF" w14:textId="77777777" w:rsidR="00BE0AC3" w:rsidRPr="00BE0AC3" w:rsidRDefault="00BE0AC3" w:rsidP="00BE0AC3">
            <w:pPr>
              <w:contextualSpacing/>
              <w:jc w:val="center"/>
              <w:rPr>
                <w:rFonts w:eastAsia="Calibri"/>
                <w:b/>
                <w:sz w:val="22"/>
                <w:szCs w:val="22"/>
              </w:rPr>
            </w:pPr>
            <w:r w:rsidRPr="00BE0AC3">
              <w:rPr>
                <w:rFonts w:eastAsia="Calibri"/>
                <w:sz w:val="22"/>
                <w:szCs w:val="22"/>
              </w:rPr>
              <w:t>Atbilst/neatbilst</w:t>
            </w:r>
          </w:p>
        </w:tc>
      </w:tr>
      <w:tr w:rsidR="00BE0AC3" w:rsidRPr="00BE0AC3" w14:paraId="284F3A2B" w14:textId="77777777" w:rsidTr="00013ED2">
        <w:tc>
          <w:tcPr>
            <w:tcW w:w="675" w:type="dxa"/>
            <w:tcBorders>
              <w:bottom w:val="single" w:sz="4" w:space="0" w:color="auto"/>
            </w:tcBorders>
          </w:tcPr>
          <w:p w14:paraId="7BD191FF" w14:textId="77777777" w:rsidR="00BE0AC3" w:rsidRPr="00BE0AC3" w:rsidRDefault="00BE0AC3" w:rsidP="00BE0AC3">
            <w:pPr>
              <w:contextualSpacing/>
              <w:jc w:val="center"/>
              <w:rPr>
                <w:rFonts w:eastAsia="Calibri"/>
                <w:sz w:val="22"/>
                <w:szCs w:val="22"/>
              </w:rPr>
            </w:pPr>
            <w:r w:rsidRPr="00BE0AC3">
              <w:rPr>
                <w:rFonts w:eastAsia="Calibri"/>
                <w:sz w:val="22"/>
                <w:szCs w:val="22"/>
              </w:rPr>
              <w:t>3.</w:t>
            </w:r>
          </w:p>
        </w:tc>
        <w:tc>
          <w:tcPr>
            <w:tcW w:w="5205" w:type="dxa"/>
            <w:tcBorders>
              <w:bottom w:val="single" w:sz="4" w:space="0" w:color="auto"/>
            </w:tcBorders>
          </w:tcPr>
          <w:p w14:paraId="31DACEDC" w14:textId="77777777" w:rsidR="00BE0AC3" w:rsidRPr="00BE0AC3" w:rsidRDefault="00BE0AC3" w:rsidP="00BE0AC3">
            <w:pPr>
              <w:numPr>
                <w:ilvl w:val="1"/>
                <w:numId w:val="3"/>
              </w:numPr>
              <w:ind w:left="0" w:hanging="567"/>
              <w:contextualSpacing/>
              <w:jc w:val="both"/>
              <w:rPr>
                <w:rFonts w:eastAsia="Calibri"/>
                <w:sz w:val="22"/>
                <w:szCs w:val="22"/>
              </w:rPr>
            </w:pPr>
            <w:r w:rsidRPr="00BE0AC3">
              <w:rPr>
                <w:rFonts w:eastAsia="Calibri"/>
                <w:sz w:val="22"/>
                <w:szCs w:val="22"/>
              </w:rPr>
              <w:t xml:space="preserve">Pretendents ir ieguvis vismaz </w:t>
            </w:r>
            <w:r w:rsidRPr="00BE0AC3">
              <w:rPr>
                <w:rFonts w:eastAsia="Calibri"/>
                <w:sz w:val="22"/>
                <w:szCs w:val="22"/>
                <w:shd w:val="clear" w:color="auto" w:fill="FFFFFF"/>
              </w:rPr>
              <w:t xml:space="preserve">akadēmisko bakalaura grādu vai profesionālo bakalaura grādu un 5. līmeņa profesionālo kvalifikāciju, vai citu Latvijas izglītības klasifikācijā noteiktajam Eiropas kvalifikācijas ietvarstruktūras 6. līmenim atbilstošu kvalifikāciju pedagoģijā, psiholoģijā, medicīnā, sociālajā darbā vai tiesību zinātnē, izglītības vadībā vai sabiedrības vadībā </w:t>
            </w:r>
          </w:p>
        </w:tc>
        <w:tc>
          <w:tcPr>
            <w:tcW w:w="2942" w:type="dxa"/>
            <w:tcBorders>
              <w:bottom w:val="single" w:sz="4" w:space="0" w:color="auto"/>
            </w:tcBorders>
          </w:tcPr>
          <w:p w14:paraId="323EA511" w14:textId="77777777" w:rsidR="00BE0AC3" w:rsidRPr="00BE0AC3" w:rsidRDefault="00BE0AC3" w:rsidP="00BE0AC3">
            <w:pPr>
              <w:contextualSpacing/>
              <w:jc w:val="center"/>
              <w:rPr>
                <w:rFonts w:eastAsia="Calibri"/>
                <w:b/>
                <w:sz w:val="22"/>
                <w:szCs w:val="22"/>
              </w:rPr>
            </w:pPr>
            <w:r w:rsidRPr="00BE0AC3">
              <w:rPr>
                <w:rFonts w:eastAsia="Calibri"/>
                <w:sz w:val="22"/>
                <w:szCs w:val="22"/>
              </w:rPr>
              <w:t>Atbilst/neatbilst</w:t>
            </w:r>
          </w:p>
        </w:tc>
      </w:tr>
      <w:tr w:rsidR="00BE0AC3" w:rsidRPr="00BE0AC3" w14:paraId="3FB926E7" w14:textId="77777777" w:rsidTr="00013ED2">
        <w:tc>
          <w:tcPr>
            <w:tcW w:w="675" w:type="dxa"/>
            <w:tcBorders>
              <w:bottom w:val="single" w:sz="4" w:space="0" w:color="auto"/>
            </w:tcBorders>
          </w:tcPr>
          <w:p w14:paraId="027757EB" w14:textId="77777777" w:rsidR="00BE0AC3" w:rsidRPr="00BE0AC3" w:rsidRDefault="00BE0AC3" w:rsidP="00BE0AC3">
            <w:pPr>
              <w:contextualSpacing/>
              <w:jc w:val="center"/>
              <w:rPr>
                <w:rFonts w:eastAsia="Calibri"/>
                <w:sz w:val="22"/>
                <w:szCs w:val="22"/>
              </w:rPr>
            </w:pPr>
            <w:r w:rsidRPr="00BE0AC3">
              <w:rPr>
                <w:rFonts w:eastAsia="Calibri"/>
                <w:sz w:val="22"/>
                <w:szCs w:val="22"/>
              </w:rPr>
              <w:t>4.</w:t>
            </w:r>
          </w:p>
        </w:tc>
        <w:tc>
          <w:tcPr>
            <w:tcW w:w="5205" w:type="dxa"/>
            <w:tcBorders>
              <w:bottom w:val="single" w:sz="4" w:space="0" w:color="auto"/>
            </w:tcBorders>
          </w:tcPr>
          <w:p w14:paraId="3774931C" w14:textId="77777777" w:rsidR="00BE0AC3" w:rsidRPr="00BE0AC3" w:rsidRDefault="00BE0AC3" w:rsidP="00BE0AC3">
            <w:pPr>
              <w:numPr>
                <w:ilvl w:val="1"/>
                <w:numId w:val="3"/>
              </w:numPr>
              <w:ind w:left="0" w:hanging="567"/>
              <w:contextualSpacing/>
              <w:jc w:val="both"/>
              <w:rPr>
                <w:rFonts w:eastAsia="Calibri"/>
                <w:sz w:val="22"/>
                <w:szCs w:val="22"/>
              </w:rPr>
            </w:pPr>
            <w:r w:rsidRPr="00BE0AC3">
              <w:rPr>
                <w:rFonts w:eastAsia="Calibri"/>
                <w:sz w:val="22"/>
                <w:szCs w:val="22"/>
                <w:shd w:val="clear" w:color="auto" w:fill="FFFFFF"/>
              </w:rPr>
              <w:t>Pretendentam ir ne mazāk kā triju gadu darba stāžs attiecīgi iegūtās izglītības tematiskajā jomā vai bāriņtiesas priekšsēdētāja, bāriņtiesas priekšsēdētāja vietnieka vai bāriņtiesas locekļa amata pienākumu pildīšanā.</w:t>
            </w:r>
          </w:p>
        </w:tc>
        <w:tc>
          <w:tcPr>
            <w:tcW w:w="2942" w:type="dxa"/>
            <w:tcBorders>
              <w:bottom w:val="single" w:sz="4" w:space="0" w:color="auto"/>
            </w:tcBorders>
          </w:tcPr>
          <w:p w14:paraId="0E3C709E" w14:textId="77777777" w:rsidR="00BE0AC3" w:rsidRPr="00BE0AC3" w:rsidRDefault="00BE0AC3" w:rsidP="00BE0AC3">
            <w:pPr>
              <w:contextualSpacing/>
              <w:jc w:val="center"/>
              <w:rPr>
                <w:rFonts w:eastAsia="Calibri"/>
                <w:sz w:val="22"/>
                <w:szCs w:val="22"/>
              </w:rPr>
            </w:pPr>
            <w:r w:rsidRPr="00BE0AC3">
              <w:rPr>
                <w:rFonts w:eastAsia="Calibri"/>
                <w:sz w:val="22"/>
                <w:szCs w:val="22"/>
              </w:rPr>
              <w:t>Atbilst/neatbilst</w:t>
            </w:r>
          </w:p>
        </w:tc>
      </w:tr>
      <w:tr w:rsidR="00BE0AC3" w:rsidRPr="00BE0AC3" w14:paraId="44EC8C0F" w14:textId="77777777" w:rsidTr="00013ED2">
        <w:tc>
          <w:tcPr>
            <w:tcW w:w="675" w:type="dxa"/>
          </w:tcPr>
          <w:p w14:paraId="3D164D07" w14:textId="77777777" w:rsidR="00BE0AC3" w:rsidRPr="00BE0AC3" w:rsidRDefault="00BE0AC3" w:rsidP="00BE0AC3">
            <w:pPr>
              <w:contextualSpacing/>
              <w:jc w:val="center"/>
              <w:rPr>
                <w:rFonts w:eastAsia="Calibri"/>
                <w:sz w:val="22"/>
                <w:szCs w:val="22"/>
              </w:rPr>
            </w:pPr>
            <w:r w:rsidRPr="00BE0AC3">
              <w:rPr>
                <w:rFonts w:eastAsia="Calibri"/>
                <w:sz w:val="22"/>
                <w:szCs w:val="22"/>
              </w:rPr>
              <w:t>5.</w:t>
            </w:r>
          </w:p>
        </w:tc>
        <w:tc>
          <w:tcPr>
            <w:tcW w:w="5205" w:type="dxa"/>
          </w:tcPr>
          <w:p w14:paraId="1B95C89B" w14:textId="77777777" w:rsidR="00BE0AC3" w:rsidRPr="00BE0AC3" w:rsidRDefault="00BE0AC3" w:rsidP="00BE0AC3">
            <w:pPr>
              <w:numPr>
                <w:ilvl w:val="1"/>
                <w:numId w:val="3"/>
              </w:numPr>
              <w:ind w:left="0" w:hanging="567"/>
              <w:contextualSpacing/>
              <w:jc w:val="both"/>
              <w:rPr>
                <w:rFonts w:eastAsia="Calibri"/>
                <w:sz w:val="22"/>
                <w:szCs w:val="22"/>
                <w:shd w:val="clear" w:color="auto" w:fill="FFFFFF"/>
              </w:rPr>
            </w:pPr>
            <w:r w:rsidRPr="00BE0AC3">
              <w:rPr>
                <w:rFonts w:eastAsia="Calibri"/>
                <w:sz w:val="22"/>
                <w:szCs w:val="22"/>
                <w:shd w:val="clear" w:color="auto" w:fill="FFFFFF"/>
              </w:rPr>
              <w:t>Prot valsts valodu augstākajā līmenī</w:t>
            </w:r>
          </w:p>
        </w:tc>
        <w:tc>
          <w:tcPr>
            <w:tcW w:w="2942" w:type="dxa"/>
          </w:tcPr>
          <w:p w14:paraId="5C3DAB96" w14:textId="77777777" w:rsidR="00BE0AC3" w:rsidRPr="00BE0AC3" w:rsidRDefault="00BE0AC3" w:rsidP="00BE0AC3">
            <w:pPr>
              <w:contextualSpacing/>
              <w:jc w:val="center"/>
              <w:rPr>
                <w:rFonts w:eastAsia="Calibri"/>
                <w:sz w:val="22"/>
                <w:szCs w:val="22"/>
              </w:rPr>
            </w:pPr>
            <w:r w:rsidRPr="00BE0AC3">
              <w:rPr>
                <w:rFonts w:eastAsia="Calibri"/>
                <w:sz w:val="22"/>
                <w:szCs w:val="22"/>
              </w:rPr>
              <w:t>Atbilst/neatbilst</w:t>
            </w:r>
          </w:p>
        </w:tc>
      </w:tr>
      <w:tr w:rsidR="00BE0AC3" w:rsidRPr="00BE0AC3" w14:paraId="203B49DD" w14:textId="77777777" w:rsidTr="00013ED2">
        <w:tc>
          <w:tcPr>
            <w:tcW w:w="675" w:type="dxa"/>
            <w:tcBorders>
              <w:bottom w:val="single" w:sz="4" w:space="0" w:color="auto"/>
            </w:tcBorders>
          </w:tcPr>
          <w:p w14:paraId="41C5EAE0" w14:textId="77777777" w:rsidR="00BE0AC3" w:rsidRPr="00BE0AC3" w:rsidRDefault="00BE0AC3" w:rsidP="00BE0AC3">
            <w:pPr>
              <w:contextualSpacing/>
              <w:jc w:val="center"/>
              <w:rPr>
                <w:rFonts w:eastAsia="Calibri"/>
                <w:sz w:val="22"/>
                <w:szCs w:val="22"/>
              </w:rPr>
            </w:pPr>
            <w:r w:rsidRPr="00BE0AC3">
              <w:rPr>
                <w:rFonts w:eastAsia="Calibri"/>
                <w:sz w:val="22"/>
                <w:szCs w:val="22"/>
              </w:rPr>
              <w:t>6.</w:t>
            </w:r>
          </w:p>
        </w:tc>
        <w:tc>
          <w:tcPr>
            <w:tcW w:w="5205" w:type="dxa"/>
            <w:tcBorders>
              <w:bottom w:val="single" w:sz="4" w:space="0" w:color="auto"/>
            </w:tcBorders>
          </w:tcPr>
          <w:p w14:paraId="60D05B87" w14:textId="77777777" w:rsidR="00BE0AC3" w:rsidRPr="00BE0AC3" w:rsidRDefault="00BE0AC3" w:rsidP="00BE0AC3">
            <w:pPr>
              <w:numPr>
                <w:ilvl w:val="1"/>
                <w:numId w:val="3"/>
              </w:numPr>
              <w:ind w:left="0" w:hanging="567"/>
              <w:contextualSpacing/>
              <w:jc w:val="both"/>
              <w:rPr>
                <w:rFonts w:eastAsia="Calibri"/>
                <w:sz w:val="22"/>
                <w:szCs w:val="22"/>
                <w:shd w:val="clear" w:color="auto" w:fill="FFFFFF"/>
              </w:rPr>
            </w:pPr>
            <w:r w:rsidRPr="00BE0AC3">
              <w:rPr>
                <w:rFonts w:eastAsia="Calibri"/>
                <w:sz w:val="22"/>
                <w:szCs w:val="22"/>
                <w:shd w:val="clear" w:color="auto" w:fill="FFFFFF"/>
              </w:rPr>
              <w:t>Nevainojama reputācija</w:t>
            </w:r>
          </w:p>
        </w:tc>
        <w:tc>
          <w:tcPr>
            <w:tcW w:w="2942" w:type="dxa"/>
            <w:tcBorders>
              <w:bottom w:val="single" w:sz="4" w:space="0" w:color="auto"/>
            </w:tcBorders>
          </w:tcPr>
          <w:p w14:paraId="3454472D" w14:textId="77777777" w:rsidR="00BE0AC3" w:rsidRPr="00BE0AC3" w:rsidRDefault="00BE0AC3" w:rsidP="00BE0AC3">
            <w:pPr>
              <w:contextualSpacing/>
              <w:jc w:val="center"/>
              <w:rPr>
                <w:rFonts w:eastAsia="Calibri"/>
                <w:sz w:val="22"/>
                <w:szCs w:val="22"/>
              </w:rPr>
            </w:pPr>
            <w:r w:rsidRPr="00BE0AC3">
              <w:rPr>
                <w:rFonts w:eastAsia="Calibri"/>
                <w:sz w:val="22"/>
                <w:szCs w:val="22"/>
              </w:rPr>
              <w:t>Atbilst/neatbilst</w:t>
            </w:r>
          </w:p>
        </w:tc>
      </w:tr>
    </w:tbl>
    <w:p w14:paraId="1D8D65D3" w14:textId="77777777" w:rsidR="00BE0AC3" w:rsidRPr="00BE0AC3" w:rsidRDefault="00BE0AC3" w:rsidP="00BE0AC3">
      <w:pPr>
        <w:spacing w:after="160" w:line="259" w:lineRule="auto"/>
        <w:ind w:left="360"/>
        <w:contextualSpacing/>
        <w:jc w:val="both"/>
        <w:rPr>
          <w:rFonts w:eastAsiaTheme="minorHAnsi"/>
          <w:lang w:eastAsia="en-US"/>
        </w:rPr>
      </w:pPr>
    </w:p>
    <w:p w14:paraId="54880E84"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Ja Speciālists konstatē, ka pretendents neatbilst kādai no 14.punktā minētajām prasībām, pretendents uz otro kārtu netiek aicināts.</w:t>
      </w:r>
    </w:p>
    <w:p w14:paraId="02A1C702"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Otrajā kārtā Komisija izvērtē pretendenta zināšanu atbilstību bāriņtiesas locekļa amatam, spēju sniegt kompetentas atbildes uz bāriņtiesas locekļa amatam specifiskiem jautājumiem (par darba sludinājumā norādītājiem kritērijiem u.c.), saskarsmes spējas, komunikācijas prasmes u.c. pēc šādiem kritērijiem, vērtējot punktu sistēmā (maksimālais punktu skaits otrajā kārtā – 23 punkti):</w:t>
      </w:r>
    </w:p>
    <w:tbl>
      <w:tblPr>
        <w:tblStyle w:val="Reatabula"/>
        <w:tblW w:w="0" w:type="auto"/>
        <w:tblLook w:val="04A0" w:firstRow="1" w:lastRow="0" w:firstColumn="1" w:lastColumn="0" w:noHBand="0" w:noVBand="1"/>
      </w:tblPr>
      <w:tblGrid>
        <w:gridCol w:w="701"/>
        <w:gridCol w:w="5717"/>
        <w:gridCol w:w="3210"/>
      </w:tblGrid>
      <w:tr w:rsidR="00BE0AC3" w:rsidRPr="00BE0AC3" w14:paraId="032B48A3" w14:textId="77777777" w:rsidTr="00013ED2">
        <w:trPr>
          <w:trHeight w:val="467"/>
        </w:trPr>
        <w:tc>
          <w:tcPr>
            <w:tcW w:w="704" w:type="dxa"/>
          </w:tcPr>
          <w:p w14:paraId="135C3E2B" w14:textId="77777777" w:rsidR="00BE0AC3" w:rsidRPr="00BE0AC3" w:rsidRDefault="00BE0AC3" w:rsidP="00BE0AC3">
            <w:pPr>
              <w:jc w:val="center"/>
              <w:rPr>
                <w:rFonts w:eastAsiaTheme="minorHAnsi"/>
                <w:sz w:val="22"/>
                <w:szCs w:val="22"/>
              </w:rPr>
            </w:pPr>
            <w:r w:rsidRPr="00BE0AC3">
              <w:rPr>
                <w:rFonts w:eastAsiaTheme="minorHAnsi"/>
                <w:b/>
                <w:bCs/>
                <w:sz w:val="22"/>
                <w:szCs w:val="22"/>
              </w:rPr>
              <w:t>Nr</w:t>
            </w:r>
            <w:r w:rsidRPr="00BE0AC3">
              <w:rPr>
                <w:rFonts w:eastAsiaTheme="minorHAnsi"/>
                <w:sz w:val="22"/>
                <w:szCs w:val="22"/>
              </w:rPr>
              <w:t>.</w:t>
            </w:r>
          </w:p>
        </w:tc>
        <w:tc>
          <w:tcPr>
            <w:tcW w:w="5786" w:type="dxa"/>
          </w:tcPr>
          <w:p w14:paraId="54C9B211" w14:textId="77777777" w:rsidR="00BE0AC3" w:rsidRPr="00BE0AC3" w:rsidRDefault="00BE0AC3" w:rsidP="00BE0AC3">
            <w:pPr>
              <w:jc w:val="center"/>
              <w:rPr>
                <w:rFonts w:eastAsiaTheme="minorHAnsi"/>
                <w:b/>
                <w:bCs/>
                <w:sz w:val="22"/>
                <w:szCs w:val="22"/>
              </w:rPr>
            </w:pPr>
            <w:r w:rsidRPr="00BE0AC3">
              <w:rPr>
                <w:rFonts w:eastAsiaTheme="minorHAnsi"/>
                <w:b/>
                <w:bCs/>
                <w:sz w:val="22"/>
                <w:szCs w:val="22"/>
              </w:rPr>
              <w:t>Vērtēšanas kritērijs</w:t>
            </w:r>
          </w:p>
        </w:tc>
        <w:tc>
          <w:tcPr>
            <w:tcW w:w="3246" w:type="dxa"/>
          </w:tcPr>
          <w:p w14:paraId="58C11ABA" w14:textId="77777777" w:rsidR="00BE0AC3" w:rsidRPr="00BE0AC3" w:rsidRDefault="00BE0AC3" w:rsidP="00BE0AC3">
            <w:pPr>
              <w:jc w:val="center"/>
              <w:rPr>
                <w:rFonts w:eastAsiaTheme="minorHAnsi"/>
                <w:b/>
                <w:bCs/>
                <w:sz w:val="22"/>
                <w:szCs w:val="22"/>
              </w:rPr>
            </w:pPr>
            <w:r w:rsidRPr="00BE0AC3">
              <w:rPr>
                <w:rFonts w:eastAsiaTheme="minorHAnsi"/>
                <w:b/>
                <w:bCs/>
                <w:sz w:val="22"/>
                <w:szCs w:val="22"/>
              </w:rPr>
              <w:t>Punktu skaits</w:t>
            </w:r>
          </w:p>
        </w:tc>
      </w:tr>
      <w:tr w:rsidR="00BE0AC3" w:rsidRPr="00BE0AC3" w14:paraId="2B2490A1" w14:textId="77777777" w:rsidTr="00013ED2">
        <w:tc>
          <w:tcPr>
            <w:tcW w:w="704" w:type="dxa"/>
          </w:tcPr>
          <w:p w14:paraId="2E8E3A61" w14:textId="77777777" w:rsidR="00BE0AC3" w:rsidRPr="00BE0AC3" w:rsidRDefault="00BE0AC3" w:rsidP="00BE0AC3">
            <w:pPr>
              <w:jc w:val="center"/>
              <w:rPr>
                <w:rFonts w:eastAsiaTheme="minorHAnsi"/>
                <w:sz w:val="22"/>
                <w:szCs w:val="22"/>
              </w:rPr>
            </w:pPr>
            <w:r w:rsidRPr="00BE0AC3">
              <w:rPr>
                <w:rFonts w:eastAsiaTheme="minorHAnsi"/>
                <w:sz w:val="22"/>
                <w:szCs w:val="22"/>
              </w:rPr>
              <w:t>1.</w:t>
            </w:r>
          </w:p>
        </w:tc>
        <w:tc>
          <w:tcPr>
            <w:tcW w:w="5786" w:type="dxa"/>
          </w:tcPr>
          <w:p w14:paraId="216278AE" w14:textId="77777777" w:rsidR="00BE0AC3" w:rsidRPr="00BE0AC3" w:rsidRDefault="00BE0AC3" w:rsidP="00BE0AC3">
            <w:pPr>
              <w:rPr>
                <w:rFonts w:eastAsiaTheme="minorHAnsi"/>
                <w:sz w:val="22"/>
                <w:szCs w:val="22"/>
              </w:rPr>
            </w:pPr>
            <w:r w:rsidRPr="00BE0AC3">
              <w:rPr>
                <w:rFonts w:eastAsiaTheme="minorHAnsi"/>
                <w:sz w:val="22"/>
                <w:szCs w:val="22"/>
              </w:rPr>
              <w:t xml:space="preserve">Pretendenta kompetence un atbilžu kvalitāte uz jautājumiem, kas saistīti ar amata pienākumu pildīšanu </w:t>
            </w:r>
          </w:p>
        </w:tc>
        <w:tc>
          <w:tcPr>
            <w:tcW w:w="3246" w:type="dxa"/>
          </w:tcPr>
          <w:p w14:paraId="59BC62BB" w14:textId="77777777" w:rsidR="00BE0AC3" w:rsidRPr="00BE0AC3" w:rsidRDefault="00BE0AC3" w:rsidP="00BE0AC3">
            <w:pPr>
              <w:rPr>
                <w:rFonts w:eastAsiaTheme="minorHAnsi"/>
                <w:sz w:val="22"/>
                <w:szCs w:val="22"/>
              </w:rPr>
            </w:pPr>
            <w:r w:rsidRPr="00BE0AC3">
              <w:rPr>
                <w:rFonts w:eastAsiaTheme="minorHAnsi"/>
                <w:sz w:val="22"/>
                <w:szCs w:val="22"/>
              </w:rPr>
              <w:t>Līdz 7 punktiem</w:t>
            </w:r>
          </w:p>
        </w:tc>
      </w:tr>
      <w:tr w:rsidR="00BE0AC3" w:rsidRPr="00BE0AC3" w14:paraId="177AFAE5" w14:textId="77777777" w:rsidTr="00013ED2">
        <w:tc>
          <w:tcPr>
            <w:tcW w:w="704" w:type="dxa"/>
          </w:tcPr>
          <w:p w14:paraId="34CD2B28" w14:textId="77777777" w:rsidR="00BE0AC3" w:rsidRPr="00BE0AC3" w:rsidRDefault="00BE0AC3" w:rsidP="00BE0AC3">
            <w:pPr>
              <w:jc w:val="center"/>
              <w:rPr>
                <w:rFonts w:eastAsiaTheme="minorHAnsi"/>
                <w:sz w:val="22"/>
                <w:szCs w:val="22"/>
              </w:rPr>
            </w:pPr>
            <w:r w:rsidRPr="00BE0AC3">
              <w:rPr>
                <w:rFonts w:eastAsiaTheme="minorHAnsi"/>
                <w:sz w:val="22"/>
                <w:szCs w:val="22"/>
              </w:rPr>
              <w:t>2.</w:t>
            </w:r>
          </w:p>
        </w:tc>
        <w:tc>
          <w:tcPr>
            <w:tcW w:w="5786" w:type="dxa"/>
          </w:tcPr>
          <w:p w14:paraId="3DFD7FFD" w14:textId="77777777" w:rsidR="00BE0AC3" w:rsidRPr="00BE0AC3" w:rsidRDefault="00BE0AC3" w:rsidP="00BE0AC3">
            <w:pPr>
              <w:rPr>
                <w:rFonts w:eastAsiaTheme="minorHAnsi"/>
                <w:sz w:val="22"/>
                <w:szCs w:val="22"/>
              </w:rPr>
            </w:pPr>
            <w:r w:rsidRPr="00BE0AC3">
              <w:rPr>
                <w:rFonts w:eastAsiaTheme="minorHAnsi"/>
                <w:sz w:val="22"/>
                <w:szCs w:val="22"/>
              </w:rPr>
              <w:t>Pretendenta saskarsmes un sadarbības spējas, komunikācijas prasme un argumentācijas prasmes</w:t>
            </w:r>
          </w:p>
        </w:tc>
        <w:tc>
          <w:tcPr>
            <w:tcW w:w="3246" w:type="dxa"/>
          </w:tcPr>
          <w:p w14:paraId="4123DA50" w14:textId="77777777" w:rsidR="00BE0AC3" w:rsidRPr="00BE0AC3" w:rsidRDefault="00BE0AC3" w:rsidP="00BE0AC3">
            <w:pPr>
              <w:rPr>
                <w:rFonts w:eastAsiaTheme="minorHAnsi"/>
                <w:sz w:val="22"/>
                <w:szCs w:val="22"/>
              </w:rPr>
            </w:pPr>
            <w:r w:rsidRPr="00BE0AC3">
              <w:rPr>
                <w:rFonts w:eastAsiaTheme="minorHAnsi"/>
                <w:sz w:val="22"/>
                <w:szCs w:val="22"/>
              </w:rPr>
              <w:t>Līdz 5 punktiem</w:t>
            </w:r>
          </w:p>
        </w:tc>
      </w:tr>
      <w:tr w:rsidR="00BE0AC3" w:rsidRPr="00BE0AC3" w14:paraId="2D3E3249" w14:textId="77777777" w:rsidTr="00013ED2">
        <w:trPr>
          <w:trHeight w:val="890"/>
        </w:trPr>
        <w:tc>
          <w:tcPr>
            <w:tcW w:w="704" w:type="dxa"/>
          </w:tcPr>
          <w:p w14:paraId="63F7CFC6" w14:textId="77777777" w:rsidR="00BE0AC3" w:rsidRPr="00BE0AC3" w:rsidRDefault="00BE0AC3" w:rsidP="00BE0AC3">
            <w:pPr>
              <w:jc w:val="center"/>
              <w:rPr>
                <w:rFonts w:eastAsiaTheme="minorHAnsi"/>
                <w:sz w:val="22"/>
                <w:szCs w:val="22"/>
              </w:rPr>
            </w:pPr>
            <w:r w:rsidRPr="00BE0AC3">
              <w:rPr>
                <w:rFonts w:eastAsiaTheme="minorHAnsi"/>
                <w:sz w:val="22"/>
                <w:szCs w:val="22"/>
              </w:rPr>
              <w:t>3.</w:t>
            </w:r>
          </w:p>
        </w:tc>
        <w:tc>
          <w:tcPr>
            <w:tcW w:w="5786" w:type="dxa"/>
          </w:tcPr>
          <w:p w14:paraId="34EABBB1" w14:textId="401B2DD0" w:rsidR="00BE0AC3" w:rsidRPr="00BE0AC3" w:rsidRDefault="00BE0AC3" w:rsidP="00BE0AC3">
            <w:pPr>
              <w:jc w:val="both"/>
              <w:rPr>
                <w:sz w:val="22"/>
                <w:szCs w:val="22"/>
              </w:rPr>
            </w:pPr>
            <w:r w:rsidRPr="00BE0AC3">
              <w:rPr>
                <w:bCs/>
                <w:sz w:val="22"/>
                <w:szCs w:val="22"/>
              </w:rPr>
              <w:t>Pretendenta</w:t>
            </w:r>
            <w:r w:rsidRPr="00BE0AC3">
              <w:rPr>
                <w:b/>
                <w:sz w:val="22"/>
                <w:szCs w:val="22"/>
              </w:rPr>
              <w:t xml:space="preserve"> </w:t>
            </w:r>
            <w:r w:rsidRPr="00BE0AC3">
              <w:rPr>
                <w:sz w:val="22"/>
                <w:szCs w:val="22"/>
              </w:rPr>
              <w:t>zināšanas  par normatīvo aktu bāzi saistībā ar bērna vai aizgādnībā esošas personas tiesību un inter</w:t>
            </w:r>
            <w:r w:rsidR="000D79E9">
              <w:rPr>
                <w:sz w:val="22"/>
                <w:szCs w:val="22"/>
              </w:rPr>
              <w:t>ešu aizstāvību un nodrošināšanu</w:t>
            </w:r>
          </w:p>
        </w:tc>
        <w:tc>
          <w:tcPr>
            <w:tcW w:w="3246" w:type="dxa"/>
          </w:tcPr>
          <w:p w14:paraId="2C2F4A32" w14:textId="77777777" w:rsidR="00BE0AC3" w:rsidRPr="00BE0AC3" w:rsidRDefault="00BE0AC3" w:rsidP="00BE0AC3">
            <w:pPr>
              <w:rPr>
                <w:rFonts w:eastAsiaTheme="minorHAnsi"/>
                <w:sz w:val="22"/>
                <w:szCs w:val="22"/>
              </w:rPr>
            </w:pPr>
            <w:r w:rsidRPr="00BE0AC3">
              <w:rPr>
                <w:rFonts w:eastAsiaTheme="minorHAnsi"/>
                <w:sz w:val="22"/>
                <w:szCs w:val="22"/>
              </w:rPr>
              <w:t>Līdz 5 punktiem</w:t>
            </w:r>
          </w:p>
        </w:tc>
      </w:tr>
      <w:tr w:rsidR="00BE0AC3" w:rsidRPr="00BE0AC3" w14:paraId="47616982" w14:textId="77777777" w:rsidTr="00013ED2">
        <w:tc>
          <w:tcPr>
            <w:tcW w:w="704" w:type="dxa"/>
          </w:tcPr>
          <w:p w14:paraId="461BF75B" w14:textId="77777777" w:rsidR="00BE0AC3" w:rsidRPr="00BE0AC3" w:rsidRDefault="00BE0AC3" w:rsidP="00BE0AC3">
            <w:pPr>
              <w:jc w:val="center"/>
              <w:rPr>
                <w:rFonts w:eastAsiaTheme="minorHAnsi"/>
                <w:sz w:val="22"/>
                <w:szCs w:val="22"/>
              </w:rPr>
            </w:pPr>
            <w:r w:rsidRPr="00BE0AC3">
              <w:rPr>
                <w:rFonts w:eastAsiaTheme="minorHAnsi"/>
                <w:sz w:val="22"/>
                <w:szCs w:val="22"/>
              </w:rPr>
              <w:t>4.</w:t>
            </w:r>
          </w:p>
        </w:tc>
        <w:tc>
          <w:tcPr>
            <w:tcW w:w="5786" w:type="dxa"/>
          </w:tcPr>
          <w:p w14:paraId="39ED39EC" w14:textId="77777777" w:rsidR="00BE0AC3" w:rsidRPr="00BE0AC3" w:rsidRDefault="00BE0AC3" w:rsidP="00BE0AC3">
            <w:pPr>
              <w:rPr>
                <w:rFonts w:eastAsiaTheme="minorHAnsi"/>
                <w:sz w:val="22"/>
                <w:szCs w:val="22"/>
              </w:rPr>
            </w:pPr>
            <w:r w:rsidRPr="00BE0AC3">
              <w:rPr>
                <w:rFonts w:eastAsiaTheme="minorHAnsi"/>
                <w:sz w:val="22"/>
                <w:szCs w:val="22"/>
              </w:rPr>
              <w:t xml:space="preserve">Spēja strādāt paaugstinātas intensitātes apstākļos, spēja patstāvīgi organizēt savu darbu un strādāt komandā, spēja analītiski domāt, būt precīzam darbu izpildē, spēja pieņemt </w:t>
            </w:r>
            <w:r w:rsidRPr="00BE0AC3">
              <w:rPr>
                <w:rFonts w:eastAsiaTheme="minorHAnsi"/>
                <w:sz w:val="22"/>
                <w:szCs w:val="22"/>
              </w:rPr>
              <w:lastRenderedPageBreak/>
              <w:t>lēmumus un uzņemties atbildību, strādāt ar lielu informācijas apjomu (piemēri balstoties līdzšinējā darba pieredzē)</w:t>
            </w:r>
          </w:p>
        </w:tc>
        <w:tc>
          <w:tcPr>
            <w:tcW w:w="3246" w:type="dxa"/>
          </w:tcPr>
          <w:p w14:paraId="5CD3E0BC" w14:textId="77777777" w:rsidR="00BE0AC3" w:rsidRPr="00BE0AC3" w:rsidRDefault="00BE0AC3" w:rsidP="00BE0AC3">
            <w:pPr>
              <w:rPr>
                <w:rFonts w:eastAsiaTheme="minorHAnsi"/>
                <w:sz w:val="22"/>
                <w:szCs w:val="22"/>
              </w:rPr>
            </w:pPr>
            <w:r w:rsidRPr="00BE0AC3">
              <w:rPr>
                <w:rFonts w:eastAsiaTheme="minorHAnsi"/>
                <w:sz w:val="22"/>
                <w:szCs w:val="22"/>
              </w:rPr>
              <w:lastRenderedPageBreak/>
              <w:t>Līdz 5 punktiem</w:t>
            </w:r>
          </w:p>
        </w:tc>
      </w:tr>
      <w:tr w:rsidR="00BE0AC3" w:rsidRPr="00BE0AC3" w14:paraId="5F1C619E" w14:textId="77777777" w:rsidTr="00013ED2">
        <w:tc>
          <w:tcPr>
            <w:tcW w:w="704" w:type="dxa"/>
          </w:tcPr>
          <w:p w14:paraId="7F197890" w14:textId="77777777" w:rsidR="00BE0AC3" w:rsidRPr="00BE0AC3" w:rsidRDefault="00BE0AC3" w:rsidP="00BE0AC3">
            <w:pPr>
              <w:jc w:val="center"/>
              <w:rPr>
                <w:rFonts w:eastAsiaTheme="minorHAnsi"/>
                <w:sz w:val="22"/>
                <w:szCs w:val="22"/>
              </w:rPr>
            </w:pPr>
            <w:r w:rsidRPr="00BE0AC3">
              <w:rPr>
                <w:rFonts w:eastAsiaTheme="minorHAnsi"/>
                <w:sz w:val="22"/>
                <w:szCs w:val="22"/>
              </w:rPr>
              <w:t>5.</w:t>
            </w:r>
          </w:p>
        </w:tc>
        <w:tc>
          <w:tcPr>
            <w:tcW w:w="5786" w:type="dxa"/>
          </w:tcPr>
          <w:p w14:paraId="0F333270" w14:textId="77777777" w:rsidR="00BE0AC3" w:rsidRPr="00BE0AC3" w:rsidRDefault="00BE0AC3" w:rsidP="00BE0AC3">
            <w:pPr>
              <w:shd w:val="clear" w:color="auto" w:fill="FFFFFF"/>
              <w:jc w:val="both"/>
              <w:rPr>
                <w:sz w:val="22"/>
                <w:szCs w:val="22"/>
              </w:rPr>
            </w:pPr>
            <w:r w:rsidRPr="00BE0AC3">
              <w:rPr>
                <w:rFonts w:eastAsia="Batang"/>
                <w:sz w:val="22"/>
                <w:szCs w:val="22"/>
              </w:rPr>
              <w:t xml:space="preserve">Bāriņtiesas priekšsēdētāja, bāriņtiesas priekšsēdētāja vietnieka un bāriņtiesas locekļu apmācību programmas 192 stundu apjomā apguve </w:t>
            </w:r>
          </w:p>
        </w:tc>
        <w:tc>
          <w:tcPr>
            <w:tcW w:w="3246" w:type="dxa"/>
          </w:tcPr>
          <w:p w14:paraId="3A22AB8F" w14:textId="77777777" w:rsidR="00BE0AC3" w:rsidRPr="00BE0AC3" w:rsidRDefault="00BE0AC3" w:rsidP="00BE0AC3">
            <w:pPr>
              <w:rPr>
                <w:rFonts w:eastAsiaTheme="minorHAnsi"/>
                <w:sz w:val="22"/>
                <w:szCs w:val="22"/>
              </w:rPr>
            </w:pPr>
            <w:r w:rsidRPr="00BE0AC3">
              <w:rPr>
                <w:rFonts w:eastAsiaTheme="minorHAnsi"/>
                <w:sz w:val="22"/>
                <w:szCs w:val="22"/>
              </w:rPr>
              <w:t>1 punkts</w:t>
            </w:r>
          </w:p>
        </w:tc>
      </w:tr>
    </w:tbl>
    <w:p w14:paraId="5ED9CDFA" w14:textId="77777777" w:rsidR="00BE0AC3" w:rsidRPr="00BE0AC3" w:rsidRDefault="00BE0AC3" w:rsidP="00BE0AC3">
      <w:pPr>
        <w:spacing w:after="160" w:line="259" w:lineRule="auto"/>
        <w:ind w:left="792"/>
        <w:contextualSpacing/>
        <w:rPr>
          <w:rFonts w:eastAsiaTheme="minorHAnsi"/>
          <w:lang w:eastAsia="en-US"/>
        </w:rPr>
      </w:pPr>
    </w:p>
    <w:p w14:paraId="64BFD905"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Pēc otrās kārtas Komisija vienas darba dienas laikā veic pretendenta izvērtēšanu un lemj par konkrētā pretendenta izvirzīšanu amatam.</w:t>
      </w:r>
    </w:p>
    <w:p w14:paraId="2EF56F8E"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Pretendenta atlases rezultātu veido otrajā kārtā iegūtā vērtējuma kopējais punktu skaits.</w:t>
      </w:r>
    </w:p>
    <w:p w14:paraId="18C57327"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Ja vairāki pretendenti saņēmuši vienādu lielāko punktu skaitu, Komisija organizē trešo kārtu (praktiskais uzdevums), par kuras kārtību/kritērijiem vienojas/apstiprina visi Komisijas locekļi.</w:t>
      </w:r>
    </w:p>
    <w:p w14:paraId="69DF6D77"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Par piemērotāko amata kandidātu tiek uzskatīts tas pretendents, kas saņem lielāko kopējo punktu skaitu.</w:t>
      </w:r>
    </w:p>
    <w:p w14:paraId="3B776751"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Komisija var apstiprināt Atlases beigšanos bez rezultātiem.</w:t>
      </w:r>
    </w:p>
    <w:p w14:paraId="6EC35648"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Komisija pieņem galīgo lēmumu bez pretendentu klātbūtnes. Par rezultātiem Speciālists paziņo katram pretendentam elektroniski (e-pastā) trīs darba dienu laikā pēc lēmuma pieņemšanas.</w:t>
      </w:r>
    </w:p>
    <w:p w14:paraId="222A7E5A" w14:textId="77777777" w:rsidR="00BE0AC3" w:rsidRDefault="00BE0AC3" w:rsidP="00BE0AC3">
      <w:pPr>
        <w:spacing w:after="160" w:line="259" w:lineRule="auto"/>
        <w:jc w:val="center"/>
        <w:rPr>
          <w:rFonts w:eastAsiaTheme="minorHAnsi"/>
          <w:b/>
          <w:bCs/>
          <w:lang w:eastAsia="en-US"/>
        </w:rPr>
      </w:pPr>
    </w:p>
    <w:p w14:paraId="56D1E96A" w14:textId="2275F451" w:rsidR="00BE0AC3" w:rsidRPr="00BE0AC3" w:rsidRDefault="00BE0AC3" w:rsidP="00BE0AC3">
      <w:pPr>
        <w:spacing w:after="160" w:line="259" w:lineRule="auto"/>
        <w:jc w:val="center"/>
        <w:rPr>
          <w:rFonts w:eastAsiaTheme="minorHAnsi"/>
          <w:b/>
          <w:bCs/>
          <w:lang w:eastAsia="en-US"/>
        </w:rPr>
      </w:pPr>
      <w:r w:rsidRPr="00BE0AC3">
        <w:rPr>
          <w:rFonts w:eastAsiaTheme="minorHAnsi"/>
          <w:b/>
          <w:bCs/>
          <w:lang w:eastAsia="en-US"/>
        </w:rPr>
        <w:t>V. Noslēguma jautājumi</w:t>
      </w:r>
    </w:p>
    <w:p w14:paraId="4DF458A8" w14:textId="3B53A8CB"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Pretendentu atlases nolikums bāriņtiesas locekļa amatam sagatavots uz četrām lapām un t</w:t>
      </w:r>
      <w:r w:rsidR="000D79E9">
        <w:rPr>
          <w:rFonts w:eastAsiaTheme="minorHAnsi"/>
          <w:lang w:eastAsia="en-US"/>
        </w:rPr>
        <w:t>iek ievietots Pašvaldības mājas</w:t>
      </w:r>
      <w:r w:rsidRPr="00BE0AC3">
        <w:rPr>
          <w:rFonts w:eastAsiaTheme="minorHAnsi"/>
          <w:lang w:eastAsia="en-US"/>
        </w:rPr>
        <w:t xml:space="preserve">lapā </w:t>
      </w:r>
      <w:hyperlink r:id="rId11" w:history="1">
        <w:r w:rsidRPr="00BE0AC3">
          <w:rPr>
            <w:rFonts w:eastAsiaTheme="minorHAnsi"/>
            <w:color w:val="0563C1" w:themeColor="hyperlink"/>
            <w:u w:val="single"/>
            <w:lang w:eastAsia="en-US"/>
          </w:rPr>
          <w:t>www.limbazunovads.lv</w:t>
        </w:r>
      </w:hyperlink>
    </w:p>
    <w:p w14:paraId="31F9F402"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Iesniegtie dokumenti pretendentam atpakaļ netiek izsniegti, izņemot gadījumu, ja pretendents viena mēneša laikā pēc Atlases pabeigšanas iesniegto dokumentu izsniegšanu pieprasa ar atsevišķu iesniegumu.</w:t>
      </w:r>
    </w:p>
    <w:p w14:paraId="5D12B56F"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Pretendentu iesniegtajiem dokumentiem un Komisijas sēdes protokolam ir ierobežotas pieejamības statuss.</w:t>
      </w:r>
    </w:p>
    <w:p w14:paraId="31C752D2"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Pretendentam pēc rakstveida pieprasījuma iesniegšanas ir tiesības iepazīties ar Komisijas sēdes protokolu, iesniegumā norādot mērķi, kādam tas tiks izmantots.</w:t>
      </w:r>
    </w:p>
    <w:p w14:paraId="46C1008E" w14:textId="77777777" w:rsidR="00BE0AC3" w:rsidRPr="00BE0AC3" w:rsidRDefault="00BE0AC3" w:rsidP="00BE0AC3">
      <w:pPr>
        <w:numPr>
          <w:ilvl w:val="0"/>
          <w:numId w:val="2"/>
        </w:numPr>
        <w:spacing w:after="160" w:line="259" w:lineRule="auto"/>
        <w:contextualSpacing/>
        <w:jc w:val="both"/>
        <w:rPr>
          <w:rFonts w:eastAsiaTheme="minorHAnsi"/>
          <w:lang w:eastAsia="en-US"/>
        </w:rPr>
      </w:pPr>
      <w:r w:rsidRPr="00BE0AC3">
        <w:rPr>
          <w:rFonts w:eastAsiaTheme="minorHAnsi"/>
          <w:lang w:eastAsia="en-US"/>
        </w:rPr>
        <w:t>Pašvaldība ievērojot fizisko personu datu aizsardzību, Pretendenta pieprasītos dokumentus izsniedz Dokumentu pārvaldības noteiktajā kārtībā.</w:t>
      </w:r>
    </w:p>
    <w:p w14:paraId="2738A385" w14:textId="52974443" w:rsidR="00FC7D47" w:rsidRDefault="00FC7D47" w:rsidP="0074786F">
      <w:pPr>
        <w:tabs>
          <w:tab w:val="left" w:pos="490"/>
        </w:tabs>
        <w:rPr>
          <w:lang w:val="en-GB" w:eastAsia="en-US"/>
        </w:rPr>
      </w:pPr>
    </w:p>
    <w:p w14:paraId="3834175D" w14:textId="7A04BA8F" w:rsidR="001C5850" w:rsidRDefault="001C5850" w:rsidP="0074786F">
      <w:pPr>
        <w:tabs>
          <w:tab w:val="left" w:pos="490"/>
        </w:tabs>
        <w:rPr>
          <w:lang w:val="en-GB" w:eastAsia="en-US"/>
        </w:rPr>
      </w:pPr>
    </w:p>
    <w:p w14:paraId="28D10B41" w14:textId="76A9733C" w:rsidR="001C5850" w:rsidRDefault="001C5850" w:rsidP="0074786F">
      <w:pPr>
        <w:tabs>
          <w:tab w:val="left" w:pos="490"/>
        </w:tabs>
        <w:rPr>
          <w:lang w:val="en-GB" w:eastAsia="en-US"/>
        </w:rPr>
      </w:pPr>
    </w:p>
    <w:p w14:paraId="4454E957" w14:textId="77777777" w:rsidR="001C5850" w:rsidRPr="001C5850" w:rsidRDefault="001C5850" w:rsidP="001C5850">
      <w:pPr>
        <w:jc w:val="both"/>
      </w:pPr>
      <w:r w:rsidRPr="001C5850">
        <w:t xml:space="preserve">Limbažu novada pašvaldības </w:t>
      </w:r>
    </w:p>
    <w:p w14:paraId="08888C92" w14:textId="77777777" w:rsidR="001C5850" w:rsidRPr="001C5850" w:rsidRDefault="001C5850" w:rsidP="001C5850">
      <w:pPr>
        <w:jc w:val="both"/>
        <w:rPr>
          <w:bCs/>
        </w:rPr>
      </w:pPr>
      <w:r w:rsidRPr="001C5850">
        <w:t>izpilddirektors</w:t>
      </w:r>
      <w:r w:rsidRPr="001C5850">
        <w:tab/>
      </w:r>
      <w:r w:rsidRPr="001C5850">
        <w:tab/>
      </w:r>
      <w:r w:rsidRPr="001C5850">
        <w:tab/>
      </w:r>
      <w:r w:rsidRPr="001C5850">
        <w:tab/>
      </w:r>
      <w:r w:rsidRPr="001C5850">
        <w:tab/>
      </w:r>
      <w:r w:rsidRPr="001C5850">
        <w:tab/>
      </w:r>
      <w:r w:rsidRPr="001C5850">
        <w:tab/>
      </w:r>
      <w:r w:rsidRPr="001C5850">
        <w:tab/>
        <w:t xml:space="preserve">              </w:t>
      </w:r>
      <w:r w:rsidRPr="001C5850">
        <w:tab/>
      </w:r>
      <w:r w:rsidRPr="001C5850">
        <w:tab/>
        <w:t>A. Ārgalis</w:t>
      </w:r>
    </w:p>
    <w:p w14:paraId="5DB6AE98" w14:textId="77777777" w:rsidR="001C5850" w:rsidRPr="0074786F" w:rsidRDefault="001C5850" w:rsidP="0074786F">
      <w:pPr>
        <w:tabs>
          <w:tab w:val="left" w:pos="490"/>
        </w:tabs>
        <w:rPr>
          <w:lang w:val="en-GB" w:eastAsia="en-US"/>
        </w:rPr>
      </w:pPr>
    </w:p>
    <w:sectPr w:rsidR="001C5850" w:rsidRPr="0074786F" w:rsidSect="00966D36">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6E57" w14:textId="77777777" w:rsidR="0049018C" w:rsidRDefault="0049018C" w:rsidP="00C432D4">
      <w:r>
        <w:separator/>
      </w:r>
    </w:p>
  </w:endnote>
  <w:endnote w:type="continuationSeparator" w:id="0">
    <w:p w14:paraId="3F005255" w14:textId="77777777" w:rsidR="0049018C" w:rsidRDefault="0049018C"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0ABA" w14:textId="77777777" w:rsidR="0049018C" w:rsidRDefault="0049018C" w:rsidP="00C432D4">
      <w:r>
        <w:separator/>
      </w:r>
    </w:p>
  </w:footnote>
  <w:footnote w:type="continuationSeparator" w:id="0">
    <w:p w14:paraId="404BE065" w14:textId="77777777" w:rsidR="0049018C" w:rsidRDefault="0049018C"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970984"/>
      <w:docPartObj>
        <w:docPartGallery w:val="Page Numbers (Top of Page)"/>
        <w:docPartUnique/>
      </w:docPartObj>
    </w:sdtPr>
    <w:sdtContent>
      <w:p w14:paraId="7CF2D4F0" w14:textId="6D618E58" w:rsidR="00BE0AC3" w:rsidRDefault="00BE0AC3" w:rsidP="00BE0AC3">
        <w:pPr>
          <w:pStyle w:val="Galvene"/>
          <w:jc w:val="center"/>
        </w:pPr>
        <w:r>
          <w:fldChar w:fldCharType="begin"/>
        </w:r>
        <w:r>
          <w:instrText>PAGE   \* MERGEFORMAT</w:instrText>
        </w:r>
        <w:r>
          <w:fldChar w:fldCharType="separate"/>
        </w:r>
        <w:r w:rsidR="000D79E9">
          <w:rPr>
            <w:noProof/>
          </w:rPr>
          <w:t>4</w:t>
        </w:r>
        <w:r>
          <w:fldChar w:fldCharType="end"/>
        </w:r>
      </w:p>
    </w:sdtContent>
  </w:sdt>
  <w:p w14:paraId="13CAB5BF" w14:textId="77777777" w:rsidR="00BE0AC3" w:rsidRDefault="00BE0AC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82096E"/>
    <w:multiLevelType w:val="multilevel"/>
    <w:tmpl w:val="085CF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CAF01EF"/>
    <w:multiLevelType w:val="hybridMultilevel"/>
    <w:tmpl w:val="0C74F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24313"/>
    <w:multiLevelType w:val="multilevel"/>
    <w:tmpl w:val="AF34E6C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86100754">
    <w:abstractNumId w:val="0"/>
  </w:num>
  <w:num w:numId="2" w16cid:durableId="1275357410">
    <w:abstractNumId w:val="1"/>
  </w:num>
  <w:num w:numId="3" w16cid:durableId="1771075079">
    <w:abstractNumId w:val="3"/>
  </w:num>
  <w:num w:numId="4" w16cid:durableId="200215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44DFB"/>
    <w:rsid w:val="000661EA"/>
    <w:rsid w:val="00070CA9"/>
    <w:rsid w:val="0009600B"/>
    <w:rsid w:val="000A73A8"/>
    <w:rsid w:val="000B7A18"/>
    <w:rsid w:val="000D79E9"/>
    <w:rsid w:val="000F1262"/>
    <w:rsid w:val="00131843"/>
    <w:rsid w:val="001C2D49"/>
    <w:rsid w:val="001C2E6E"/>
    <w:rsid w:val="001C5850"/>
    <w:rsid w:val="001D14F9"/>
    <w:rsid w:val="001D5338"/>
    <w:rsid w:val="001F2CC9"/>
    <w:rsid w:val="001F3440"/>
    <w:rsid w:val="0020414D"/>
    <w:rsid w:val="00234FEF"/>
    <w:rsid w:val="002615D2"/>
    <w:rsid w:val="00273280"/>
    <w:rsid w:val="00286E3D"/>
    <w:rsid w:val="00295333"/>
    <w:rsid w:val="002C11EF"/>
    <w:rsid w:val="002E59D6"/>
    <w:rsid w:val="002F6C12"/>
    <w:rsid w:val="00311ABE"/>
    <w:rsid w:val="00314AB1"/>
    <w:rsid w:val="00330AD5"/>
    <w:rsid w:val="00351A80"/>
    <w:rsid w:val="00397EAF"/>
    <w:rsid w:val="003C2FF0"/>
    <w:rsid w:val="003C6581"/>
    <w:rsid w:val="003D491C"/>
    <w:rsid w:val="003F6E19"/>
    <w:rsid w:val="00410F2E"/>
    <w:rsid w:val="00454FD5"/>
    <w:rsid w:val="004662DE"/>
    <w:rsid w:val="0049018C"/>
    <w:rsid w:val="004913F2"/>
    <w:rsid w:val="00495E64"/>
    <w:rsid w:val="004A6936"/>
    <w:rsid w:val="004B2C5C"/>
    <w:rsid w:val="004C063E"/>
    <w:rsid w:val="004C37C4"/>
    <w:rsid w:val="004C7390"/>
    <w:rsid w:val="004E257D"/>
    <w:rsid w:val="004E394C"/>
    <w:rsid w:val="004E4EA2"/>
    <w:rsid w:val="004E556B"/>
    <w:rsid w:val="00574FA5"/>
    <w:rsid w:val="00577BEF"/>
    <w:rsid w:val="005B2342"/>
    <w:rsid w:val="005C6784"/>
    <w:rsid w:val="005F2C31"/>
    <w:rsid w:val="00625402"/>
    <w:rsid w:val="006456B0"/>
    <w:rsid w:val="00671977"/>
    <w:rsid w:val="00690C91"/>
    <w:rsid w:val="00693F37"/>
    <w:rsid w:val="00696EC3"/>
    <w:rsid w:val="006B2306"/>
    <w:rsid w:val="006C5375"/>
    <w:rsid w:val="0071182F"/>
    <w:rsid w:val="0073189E"/>
    <w:rsid w:val="00743494"/>
    <w:rsid w:val="007468FD"/>
    <w:rsid w:val="0074786F"/>
    <w:rsid w:val="0077141B"/>
    <w:rsid w:val="00775F81"/>
    <w:rsid w:val="007D3B3B"/>
    <w:rsid w:val="007D62E9"/>
    <w:rsid w:val="007F0990"/>
    <w:rsid w:val="007F4798"/>
    <w:rsid w:val="008043A2"/>
    <w:rsid w:val="0080445D"/>
    <w:rsid w:val="0081004A"/>
    <w:rsid w:val="0083641B"/>
    <w:rsid w:val="008455C2"/>
    <w:rsid w:val="00881517"/>
    <w:rsid w:val="00881BBD"/>
    <w:rsid w:val="008A53C4"/>
    <w:rsid w:val="008A5B18"/>
    <w:rsid w:val="008B5175"/>
    <w:rsid w:val="008D001C"/>
    <w:rsid w:val="008E370D"/>
    <w:rsid w:val="00902DAF"/>
    <w:rsid w:val="00917630"/>
    <w:rsid w:val="0092481B"/>
    <w:rsid w:val="0092739D"/>
    <w:rsid w:val="00966D36"/>
    <w:rsid w:val="009A410D"/>
    <w:rsid w:val="009E41D1"/>
    <w:rsid w:val="00A33D5F"/>
    <w:rsid w:val="00A75555"/>
    <w:rsid w:val="00A87F50"/>
    <w:rsid w:val="00AD21E7"/>
    <w:rsid w:val="00AE0F2A"/>
    <w:rsid w:val="00B351AE"/>
    <w:rsid w:val="00B376DF"/>
    <w:rsid w:val="00B417D6"/>
    <w:rsid w:val="00B448D3"/>
    <w:rsid w:val="00B843F1"/>
    <w:rsid w:val="00B85327"/>
    <w:rsid w:val="00B93E02"/>
    <w:rsid w:val="00BB2EB3"/>
    <w:rsid w:val="00BB72CD"/>
    <w:rsid w:val="00BD3726"/>
    <w:rsid w:val="00BE0AC3"/>
    <w:rsid w:val="00C121EB"/>
    <w:rsid w:val="00C31E1D"/>
    <w:rsid w:val="00C432D4"/>
    <w:rsid w:val="00C46D6B"/>
    <w:rsid w:val="00C83C31"/>
    <w:rsid w:val="00CB0B02"/>
    <w:rsid w:val="00CD57EB"/>
    <w:rsid w:val="00CE0CAA"/>
    <w:rsid w:val="00CF159D"/>
    <w:rsid w:val="00D13EBB"/>
    <w:rsid w:val="00D4345B"/>
    <w:rsid w:val="00D76A53"/>
    <w:rsid w:val="00D87258"/>
    <w:rsid w:val="00DA4145"/>
    <w:rsid w:val="00DB4D10"/>
    <w:rsid w:val="00DB5B97"/>
    <w:rsid w:val="00DE03F1"/>
    <w:rsid w:val="00DE105D"/>
    <w:rsid w:val="00E03D67"/>
    <w:rsid w:val="00E05B4E"/>
    <w:rsid w:val="00E272C0"/>
    <w:rsid w:val="00E55F2E"/>
    <w:rsid w:val="00E76598"/>
    <w:rsid w:val="00E7661A"/>
    <w:rsid w:val="00EE25F3"/>
    <w:rsid w:val="00EF5284"/>
    <w:rsid w:val="00FB7049"/>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table" w:styleId="Reatabula">
    <w:name w:val="Table Grid"/>
    <w:basedOn w:val="Parastatabula"/>
    <w:uiPriority w:val="39"/>
    <w:rsid w:val="00AD21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E2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0" Type="http://schemas.openxmlformats.org/officeDocument/2006/relationships/hyperlink" Target="mailto:vakance@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6821</Words>
  <Characters>3888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Gunita Gulbe</cp:lastModifiedBy>
  <cp:revision>4</cp:revision>
  <cp:lastPrinted>2024-01-22T12:05:00Z</cp:lastPrinted>
  <dcterms:created xsi:type="dcterms:W3CDTF">2025-04-01T08:29:00Z</dcterms:created>
  <dcterms:modified xsi:type="dcterms:W3CDTF">2025-06-09T08:01:00Z</dcterms:modified>
</cp:coreProperties>
</file>