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71842289" w:rsidR="00FC7D47" w:rsidRPr="00300F9D" w:rsidRDefault="00F620F1"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53C946B0" w14:textId="5F0010DA" w:rsidR="00FC7D47" w:rsidRPr="00300F9D" w:rsidRDefault="00F620F1" w:rsidP="00E76598">
      <w:pPr>
        <w:jc w:val="center"/>
        <w:rPr>
          <w:sz w:val="18"/>
          <w:szCs w:val="20"/>
        </w:rPr>
      </w:pPr>
      <w:r w:rsidRPr="00300F9D">
        <w:rPr>
          <w:sz w:val="18"/>
          <w:szCs w:val="20"/>
        </w:rPr>
        <w:t xml:space="preserve">Reģ.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F620F1"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30369F0C" w14:textId="77777777" w:rsidR="003B234D" w:rsidRPr="003B234D" w:rsidRDefault="003B234D" w:rsidP="003B234D">
      <w:pPr>
        <w:tabs>
          <w:tab w:val="center" w:pos="4819"/>
          <w:tab w:val="left" w:pos="5895"/>
        </w:tabs>
        <w:jc w:val="center"/>
        <w:rPr>
          <w:b/>
          <w:bCs/>
          <w:lang w:eastAsia="en-US"/>
        </w:rPr>
      </w:pPr>
      <w:r w:rsidRPr="003B234D">
        <w:rPr>
          <w:b/>
          <w:bCs/>
          <w:lang w:eastAsia="en-US"/>
        </w:rPr>
        <w:t>LĒMUMS</w:t>
      </w:r>
    </w:p>
    <w:p w14:paraId="3A805A97" w14:textId="77777777" w:rsidR="003B234D" w:rsidRPr="003B234D" w:rsidRDefault="003B234D" w:rsidP="003B234D">
      <w:pPr>
        <w:tabs>
          <w:tab w:val="center" w:pos="4819"/>
          <w:tab w:val="left" w:pos="5865"/>
        </w:tabs>
        <w:jc w:val="center"/>
        <w:rPr>
          <w:bCs/>
          <w:lang w:eastAsia="en-US"/>
        </w:rPr>
      </w:pPr>
      <w:r w:rsidRPr="003B234D">
        <w:rPr>
          <w:bCs/>
          <w:lang w:eastAsia="en-US"/>
        </w:rPr>
        <w:t>Limbažos</w:t>
      </w:r>
    </w:p>
    <w:p w14:paraId="69202B6B" w14:textId="77777777" w:rsidR="003B234D" w:rsidRPr="003B234D" w:rsidRDefault="003B234D" w:rsidP="003B234D">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17"/>
        <w:gridCol w:w="3402"/>
      </w:tblGrid>
      <w:tr w:rsidR="003B234D" w:rsidRPr="003B234D" w14:paraId="14261CC0" w14:textId="77777777" w:rsidTr="00281717">
        <w:tc>
          <w:tcPr>
            <w:tcW w:w="3219" w:type="dxa"/>
          </w:tcPr>
          <w:p w14:paraId="122E9C8A" w14:textId="77777777" w:rsidR="003B234D" w:rsidRPr="003B234D" w:rsidRDefault="003B234D" w:rsidP="003B234D">
            <w:pPr>
              <w:jc w:val="left"/>
              <w:rPr>
                <w:b/>
                <w:bCs/>
              </w:rPr>
            </w:pPr>
            <w:r w:rsidRPr="003B234D">
              <w:rPr>
                <w:rFonts w:eastAsia="Calibri"/>
                <w:bCs/>
              </w:rPr>
              <w:t>2026. gada 28. maijā</w:t>
            </w:r>
          </w:p>
        </w:tc>
        <w:tc>
          <w:tcPr>
            <w:tcW w:w="3017" w:type="dxa"/>
          </w:tcPr>
          <w:p w14:paraId="2138067E" w14:textId="77777777" w:rsidR="003B234D" w:rsidRPr="003B234D" w:rsidRDefault="003B234D" w:rsidP="003B234D">
            <w:pPr>
              <w:jc w:val="right"/>
              <w:rPr>
                <w:bCs/>
              </w:rPr>
            </w:pPr>
          </w:p>
        </w:tc>
        <w:tc>
          <w:tcPr>
            <w:tcW w:w="3402" w:type="dxa"/>
          </w:tcPr>
          <w:p w14:paraId="7D5DD7A0" w14:textId="68088B00" w:rsidR="003B234D" w:rsidRPr="003B234D" w:rsidRDefault="003B234D" w:rsidP="003B234D">
            <w:pPr>
              <w:jc w:val="left"/>
              <w:rPr>
                <w:b/>
                <w:bCs/>
              </w:rPr>
            </w:pPr>
            <w:r w:rsidRPr="003B234D">
              <w:rPr>
                <w:bCs/>
              </w:rPr>
              <w:t xml:space="preserve">                  Nr.</w:t>
            </w:r>
            <w:r w:rsidRPr="003B234D">
              <w:rPr>
                <w:bCs/>
              </w:rPr>
              <w:t>424</w:t>
            </w:r>
          </w:p>
        </w:tc>
      </w:tr>
      <w:tr w:rsidR="003B234D" w:rsidRPr="003B234D" w14:paraId="314C6E4A" w14:textId="77777777" w:rsidTr="00281717">
        <w:tc>
          <w:tcPr>
            <w:tcW w:w="3219" w:type="dxa"/>
          </w:tcPr>
          <w:p w14:paraId="15299C89" w14:textId="77777777" w:rsidR="003B234D" w:rsidRPr="003B234D" w:rsidRDefault="003B234D" w:rsidP="003B234D">
            <w:pPr>
              <w:jc w:val="center"/>
              <w:rPr>
                <w:b/>
                <w:bCs/>
              </w:rPr>
            </w:pPr>
          </w:p>
        </w:tc>
        <w:tc>
          <w:tcPr>
            <w:tcW w:w="3017" w:type="dxa"/>
          </w:tcPr>
          <w:p w14:paraId="786702BE" w14:textId="77777777" w:rsidR="003B234D" w:rsidRPr="003B234D" w:rsidRDefault="003B234D" w:rsidP="003B234D">
            <w:pPr>
              <w:jc w:val="right"/>
              <w:rPr>
                <w:bCs/>
              </w:rPr>
            </w:pPr>
          </w:p>
        </w:tc>
        <w:tc>
          <w:tcPr>
            <w:tcW w:w="3402" w:type="dxa"/>
          </w:tcPr>
          <w:p w14:paraId="22E11E19" w14:textId="319C9C72" w:rsidR="003B234D" w:rsidRPr="003B234D" w:rsidRDefault="003B234D" w:rsidP="003B234D">
            <w:pPr>
              <w:jc w:val="right"/>
              <w:rPr>
                <w:bCs/>
              </w:rPr>
            </w:pPr>
            <w:r w:rsidRPr="003B234D">
              <w:rPr>
                <w:bCs/>
              </w:rPr>
              <w:t xml:space="preserve">(protokols Nr.11, </w:t>
            </w:r>
            <w:r w:rsidRPr="003B234D">
              <w:rPr>
                <w:bCs/>
              </w:rPr>
              <w:t>68</w:t>
            </w:r>
            <w:r w:rsidRPr="003B234D">
              <w:rPr>
                <w:bCs/>
              </w:rPr>
              <w:t>.)</w:t>
            </w:r>
          </w:p>
        </w:tc>
      </w:tr>
    </w:tbl>
    <w:p w14:paraId="6777C09C" w14:textId="788FDCDF" w:rsidR="00300F9D" w:rsidRDefault="00300F9D" w:rsidP="0074786F">
      <w:pPr>
        <w:tabs>
          <w:tab w:val="left" w:pos="490"/>
        </w:tabs>
        <w:rPr>
          <w:lang w:eastAsia="en-US"/>
        </w:rPr>
      </w:pPr>
    </w:p>
    <w:p w14:paraId="4219453B" w14:textId="77777777" w:rsidR="00300F9D" w:rsidRPr="00300F9D" w:rsidRDefault="00300F9D" w:rsidP="0074786F">
      <w:pPr>
        <w:tabs>
          <w:tab w:val="left" w:pos="490"/>
        </w:tabs>
        <w:rPr>
          <w:lang w:eastAsia="en-US"/>
        </w:rPr>
      </w:pPr>
    </w:p>
    <w:p w14:paraId="3207C4A3" w14:textId="77777777" w:rsidR="003B234D" w:rsidRPr="003B234D" w:rsidRDefault="003B234D" w:rsidP="003B234D">
      <w:pPr>
        <w:pBdr>
          <w:bottom w:val="single" w:sz="6" w:space="1" w:color="auto"/>
        </w:pBdr>
        <w:rPr>
          <w:b/>
          <w:bCs/>
        </w:rPr>
      </w:pPr>
      <w:r w:rsidRPr="003B234D">
        <w:rPr>
          <w:b/>
          <w:bCs/>
          <w:noProof/>
        </w:rPr>
        <w:t>Par grozījumiem Limbažu novada pašvaldības domes 30.04.2026. lēmumā Nr.308 “Par Limbažu novada Ilgtspējīgas attīstības stratēģijas 2022.–2046. gadam aktualizācijas uzsākšanu”</w:t>
      </w:r>
    </w:p>
    <w:p w14:paraId="6F0F6FAA" w14:textId="77777777" w:rsidR="003B234D" w:rsidRPr="003B234D" w:rsidRDefault="003B234D" w:rsidP="003B234D">
      <w:pPr>
        <w:jc w:val="center"/>
      </w:pPr>
      <w:r w:rsidRPr="003B234D">
        <w:t xml:space="preserve">Ziņo </w:t>
      </w:r>
      <w:r w:rsidRPr="003B234D">
        <w:rPr>
          <w:noProof/>
        </w:rPr>
        <w:t>Ģirts Vilciņš</w:t>
      </w:r>
    </w:p>
    <w:p w14:paraId="3E3BAD6A" w14:textId="77777777" w:rsidR="003B234D" w:rsidRPr="003B234D" w:rsidRDefault="003B234D" w:rsidP="003B234D"/>
    <w:p w14:paraId="1278A1A3" w14:textId="77777777" w:rsidR="003B234D" w:rsidRPr="003B234D" w:rsidRDefault="003B234D" w:rsidP="003B234D">
      <w:pPr>
        <w:ind w:firstLine="720"/>
      </w:pPr>
      <w:r w:rsidRPr="003B234D">
        <w:t>Lēmums paredz grozīt Limbažu novada pašvaldības domes 30.04.2026. lēmuma Nr.308 “Par Limbažu novada Ilgtspējīgas attīstības stratēģijas 2022.–2046. gadam aktualizācijas uzsākšanu” 2. pielikumu “Sabiedrības līdzdalības plāns”, precizējot iedzīvotāju aptaujas norises termiņu.</w:t>
      </w:r>
    </w:p>
    <w:p w14:paraId="38DDB3CC" w14:textId="77777777" w:rsidR="003B234D" w:rsidRPr="003B234D" w:rsidRDefault="003B234D" w:rsidP="003B234D">
      <w:pPr>
        <w:ind w:firstLine="720"/>
      </w:pPr>
      <w:r w:rsidRPr="003B234D">
        <w:t>Esošais termiņš 01.06.2026.–30.06.2026. tiek aizstāts ar 01.07.2026.–31.07.2026. Grozījums ir tehnisks un neietekmē sabiedrības līdzdalības procesa saturu, apjomu vai kārtību.</w:t>
      </w:r>
    </w:p>
    <w:p w14:paraId="2C475AD3" w14:textId="77777777" w:rsidR="003B234D" w:rsidRPr="003B234D" w:rsidRDefault="003B234D" w:rsidP="003B234D">
      <w:pPr>
        <w:ind w:firstLine="720"/>
      </w:pPr>
      <w:r w:rsidRPr="003B234D">
        <w:t>Grozījuma nepieciešamības pamatojums. 2026. gada 26. maijā notikušajā sanāksmē ar piesaistītajiem ekspertiem, kas iesaistīti Ilgtspējīgas attīstības stratēģijas aktualizācijas izstrādē, tika konstatēts, ka:</w:t>
      </w:r>
    </w:p>
    <w:p w14:paraId="48740F98" w14:textId="77777777" w:rsidR="003B234D" w:rsidRPr="003B234D" w:rsidRDefault="003B234D" w:rsidP="003B234D">
      <w:pPr>
        <w:numPr>
          <w:ilvl w:val="0"/>
          <w:numId w:val="5"/>
        </w:numPr>
        <w:spacing w:line="259" w:lineRule="auto"/>
        <w:ind w:left="993" w:hanging="284"/>
      </w:pPr>
      <w:r w:rsidRPr="003B234D">
        <w:t>jūnija mēnesī vairāki tematiskie pētījumi un analītiskie materiāli vēl būs izstrādes procesā;</w:t>
      </w:r>
    </w:p>
    <w:p w14:paraId="278703E0" w14:textId="77777777" w:rsidR="003B234D" w:rsidRPr="003B234D" w:rsidRDefault="003B234D" w:rsidP="003B234D">
      <w:pPr>
        <w:numPr>
          <w:ilvl w:val="0"/>
          <w:numId w:val="5"/>
        </w:numPr>
        <w:spacing w:line="259" w:lineRule="auto"/>
        <w:ind w:left="993" w:hanging="284"/>
      </w:pPr>
      <w:r w:rsidRPr="003B234D">
        <w:t>aptaujas veikšana jūlijā nodrošinās iespēju iedzīvotājiem sniegt viedokli, balstoties uz pilnīgāku un precīzāku informāciju.</w:t>
      </w:r>
    </w:p>
    <w:p w14:paraId="01AC710F" w14:textId="77777777" w:rsidR="003B234D" w:rsidRPr="003B234D" w:rsidRDefault="003B234D" w:rsidP="003B234D">
      <w:pPr>
        <w:spacing w:line="259" w:lineRule="auto"/>
        <w:ind w:firstLine="714"/>
      </w:pPr>
      <w:r w:rsidRPr="003B234D">
        <w:t>Līdz ar to aptaujas termiņa pārcelšana uz 01.07.–31.07. nodrošina kvalitatīvāku sabiedrības līdzdalības procesu un atbilst MK noteikumu Nr. 639 prasībām par savlaicīgu, ietverošu un efektīvu sabiedrības iesaisti.</w:t>
      </w:r>
    </w:p>
    <w:p w14:paraId="4F7A0744" w14:textId="77777777" w:rsidR="003B234D" w:rsidRPr="003B234D" w:rsidRDefault="003B234D" w:rsidP="003B234D">
      <w:pPr>
        <w:suppressAutoHyphens/>
        <w:ind w:firstLine="720"/>
        <w:rPr>
          <w:b/>
          <w:bCs/>
        </w:rPr>
      </w:pPr>
      <w:r w:rsidRPr="003B234D">
        <w:t xml:space="preserve">Pamatojoties uz Pašvaldību likuma 10. panta pirmās daļas 3. punktu, Attīstības plānošanas sistēmas likuma 6. panta ceturto daļu, Teritorijas attīstības plānošanas likuma 12. panta pirmo daļu, kā arī Ministru kabineta 15.10.2024. noteikumiem Nr.639 “Sabiedrības līdzdalības kārtība attīstības plānošanas procesā”, un ņemot vērā 2026. gada 26. maija darba grupas sanāksmē ar piesaistītajiem ekspertiem konstatēto nepieciešamību precizēt sabiedrības līdzdalības plānā noteikto iedzīvotāju aptaujas termiņu, </w:t>
      </w:r>
      <w:r w:rsidRPr="003B234D">
        <w:rPr>
          <w:rFonts w:cs="Tahoma"/>
          <w:b/>
          <w:kern w:val="1"/>
          <w:lang w:eastAsia="hi-IN" w:bidi="hi-IN"/>
        </w:rPr>
        <w:t>a</w:t>
      </w:r>
      <w:r w:rsidRPr="003B234D">
        <w:rPr>
          <w:b/>
          <w:bCs/>
        </w:rPr>
        <w:t>tklāti balsojot: PAR</w:t>
      </w:r>
      <w:r w:rsidRPr="003B234D">
        <w:t xml:space="preserve"> – 12 deputāti (</w:t>
      </w:r>
      <w:r w:rsidRPr="003B234D">
        <w:rPr>
          <w:rFonts w:eastAsia="Calibri"/>
          <w:szCs w:val="22"/>
          <w:lang w:eastAsia="en-US"/>
        </w:rPr>
        <w:t xml:space="preserve">Andris Garklāvs, Aigars </w:t>
      </w:r>
      <w:proofErr w:type="spellStart"/>
      <w:r w:rsidRPr="003B234D">
        <w:rPr>
          <w:rFonts w:eastAsia="Calibri"/>
          <w:szCs w:val="22"/>
          <w:lang w:eastAsia="en-US"/>
        </w:rPr>
        <w:t>Legzdiņš</w:t>
      </w:r>
      <w:proofErr w:type="spellEnd"/>
      <w:r w:rsidRPr="003B234D">
        <w:rPr>
          <w:rFonts w:eastAsia="Calibri"/>
          <w:szCs w:val="22"/>
          <w:lang w:eastAsia="en-US"/>
        </w:rPr>
        <w:t xml:space="preserve">, Dāvis Melnalksnis, Jānis Remess, Ziedonis </w:t>
      </w:r>
      <w:proofErr w:type="spellStart"/>
      <w:r w:rsidRPr="003B234D">
        <w:rPr>
          <w:rFonts w:eastAsia="Calibri"/>
          <w:szCs w:val="22"/>
          <w:lang w:eastAsia="en-US"/>
        </w:rPr>
        <w:t>Rubezis</w:t>
      </w:r>
      <w:proofErr w:type="spellEnd"/>
      <w:r w:rsidRPr="003B234D">
        <w:rPr>
          <w:rFonts w:eastAsia="Calibri"/>
          <w:szCs w:val="22"/>
          <w:lang w:eastAsia="en-US"/>
        </w:rPr>
        <w:t xml:space="preserve">, Baiba </w:t>
      </w:r>
      <w:proofErr w:type="spellStart"/>
      <w:r w:rsidRPr="003B234D">
        <w:rPr>
          <w:rFonts w:eastAsia="Calibri"/>
          <w:szCs w:val="22"/>
          <w:lang w:eastAsia="en-US"/>
        </w:rPr>
        <w:t>Siktāre</w:t>
      </w:r>
      <w:proofErr w:type="spellEnd"/>
      <w:r w:rsidRPr="003B234D">
        <w:rPr>
          <w:rFonts w:eastAsia="Calibri"/>
          <w:szCs w:val="22"/>
          <w:lang w:eastAsia="en-US"/>
        </w:rPr>
        <w:t xml:space="preserve">, Sigita </w:t>
      </w:r>
      <w:proofErr w:type="spellStart"/>
      <w:r w:rsidRPr="003B234D">
        <w:rPr>
          <w:rFonts w:eastAsia="Calibri"/>
          <w:szCs w:val="22"/>
          <w:lang w:eastAsia="en-US"/>
        </w:rPr>
        <w:t>Upmale</w:t>
      </w:r>
      <w:proofErr w:type="spellEnd"/>
      <w:r w:rsidRPr="003B234D">
        <w:rPr>
          <w:rFonts w:eastAsia="Calibri"/>
          <w:szCs w:val="22"/>
          <w:lang w:eastAsia="en-US"/>
        </w:rPr>
        <w:t xml:space="preserve">, Ģirts Vilciņš, Roberts </w:t>
      </w:r>
      <w:proofErr w:type="spellStart"/>
      <w:r w:rsidRPr="003B234D">
        <w:rPr>
          <w:rFonts w:eastAsia="Calibri"/>
          <w:szCs w:val="22"/>
          <w:lang w:eastAsia="en-US"/>
        </w:rPr>
        <w:t>Viziņš</w:t>
      </w:r>
      <w:proofErr w:type="spellEnd"/>
      <w:r w:rsidRPr="003B234D">
        <w:rPr>
          <w:rFonts w:eastAsia="Calibri"/>
          <w:szCs w:val="22"/>
          <w:lang w:eastAsia="en-US"/>
        </w:rPr>
        <w:t xml:space="preserve">, Andis Zaļaiskalns, Diāna Zaļupe, Edmunds </w:t>
      </w:r>
      <w:proofErr w:type="spellStart"/>
      <w:r w:rsidRPr="003B234D">
        <w:rPr>
          <w:rFonts w:eastAsia="Calibri"/>
          <w:szCs w:val="22"/>
          <w:lang w:eastAsia="en-US"/>
        </w:rPr>
        <w:t>Zeidmanis</w:t>
      </w:r>
      <w:proofErr w:type="spellEnd"/>
      <w:r w:rsidRPr="003B234D">
        <w:rPr>
          <w:rFonts w:eastAsia="Calibri"/>
          <w:szCs w:val="22"/>
          <w:lang w:eastAsia="en-US"/>
        </w:rPr>
        <w:t>)</w:t>
      </w:r>
      <w:r w:rsidRPr="003B234D">
        <w:rPr>
          <w:bCs/>
        </w:rPr>
        <w:t>,</w:t>
      </w:r>
      <w:r w:rsidRPr="003B234D">
        <w:rPr>
          <w:rFonts w:eastAsia="Calibri"/>
          <w:szCs w:val="22"/>
          <w:lang w:eastAsia="en-US"/>
        </w:rPr>
        <w:t xml:space="preserve"> </w:t>
      </w:r>
      <w:r w:rsidRPr="003B234D">
        <w:rPr>
          <w:b/>
          <w:bCs/>
        </w:rPr>
        <w:t xml:space="preserve">PRET – </w:t>
      </w:r>
      <w:r w:rsidRPr="003B234D">
        <w:rPr>
          <w:bCs/>
        </w:rPr>
        <w:t>nav,</w:t>
      </w:r>
      <w:r w:rsidRPr="003B234D">
        <w:rPr>
          <w:rFonts w:eastAsia="Calibri"/>
          <w:szCs w:val="22"/>
          <w:lang w:eastAsia="en-US"/>
        </w:rPr>
        <w:t xml:space="preserve"> </w:t>
      </w:r>
      <w:r w:rsidRPr="003B234D">
        <w:rPr>
          <w:b/>
          <w:bCs/>
        </w:rPr>
        <w:t>ATTURAS –</w:t>
      </w:r>
      <w:r w:rsidRPr="003B234D">
        <w:t xml:space="preserve"> nav, Limbažu novada pašvaldības dome</w:t>
      </w:r>
      <w:r w:rsidRPr="003B234D">
        <w:rPr>
          <w:b/>
          <w:bCs/>
        </w:rPr>
        <w:t xml:space="preserve"> NOLEMJ:</w:t>
      </w:r>
    </w:p>
    <w:p w14:paraId="1775AC1A" w14:textId="77777777" w:rsidR="003B234D" w:rsidRPr="003B234D" w:rsidRDefault="003B234D" w:rsidP="003B234D">
      <w:pPr>
        <w:ind w:firstLine="720"/>
        <w:rPr>
          <w:lang w:eastAsia="hi-IN" w:bidi="hi-IN"/>
        </w:rPr>
      </w:pPr>
    </w:p>
    <w:p w14:paraId="1858173F" w14:textId="77777777" w:rsidR="003B234D" w:rsidRPr="003B234D" w:rsidRDefault="003B234D" w:rsidP="003B234D">
      <w:pPr>
        <w:numPr>
          <w:ilvl w:val="0"/>
          <w:numId w:val="8"/>
        </w:numPr>
        <w:ind w:left="357" w:hanging="357"/>
        <w:contextualSpacing/>
        <w:rPr>
          <w:lang w:eastAsia="hi-IN" w:bidi="hi-IN"/>
        </w:rPr>
      </w:pPr>
      <w:r w:rsidRPr="003B234D">
        <w:t xml:space="preserve">Grozīt Limbažu novada pašvaldības domes 30.04.2026. lēmuma Nr.308 “Par Limbažu novada Ilgtspējīgas attīstības stratēģijas 2022.–2046. gadam aktualizācijas uzsākšanu” 2. pielikumu “Sabiedrības līdzdalības plāns”, aizstājot tajā noteikto iedzīvotāju aptaujas norises termiņu </w:t>
      </w:r>
      <w:r w:rsidRPr="003B234D">
        <w:rPr>
          <w:b/>
          <w:bCs/>
        </w:rPr>
        <w:t>“01.06.2026.–30.06.2026.”</w:t>
      </w:r>
      <w:r w:rsidRPr="003B234D">
        <w:t xml:space="preserve"> ar </w:t>
      </w:r>
      <w:r w:rsidRPr="003B234D">
        <w:rPr>
          <w:b/>
          <w:bCs/>
        </w:rPr>
        <w:t>“01.07.2026.–31.07.2026.”</w:t>
      </w:r>
      <w:r w:rsidRPr="003B234D">
        <w:t>.</w:t>
      </w:r>
    </w:p>
    <w:p w14:paraId="06808F67" w14:textId="77777777" w:rsidR="003B234D" w:rsidRPr="003B234D" w:rsidRDefault="003B234D" w:rsidP="003B234D">
      <w:pPr>
        <w:numPr>
          <w:ilvl w:val="0"/>
          <w:numId w:val="8"/>
        </w:numPr>
        <w:ind w:left="357" w:hanging="357"/>
        <w:contextualSpacing/>
        <w:rPr>
          <w:lang w:eastAsia="hi-IN" w:bidi="hi-IN"/>
        </w:rPr>
      </w:pPr>
      <w:r w:rsidRPr="003B234D">
        <w:t>Noteikt, ka pārējās 2. pielikuma “Sabiedrības līdzdalības plāns” normas paliek negrozītas</w:t>
      </w:r>
      <w:r w:rsidRPr="003B234D">
        <w:rPr>
          <w:rFonts w:eastAsia="Arial Unicode MS"/>
          <w:kern w:val="1"/>
          <w:lang w:eastAsia="hi-IN" w:bidi="hi-IN"/>
        </w:rPr>
        <w:t>.</w:t>
      </w:r>
    </w:p>
    <w:p w14:paraId="0D0A08C9" w14:textId="77777777" w:rsidR="003B234D" w:rsidRPr="003B234D" w:rsidRDefault="003B234D" w:rsidP="003B234D">
      <w:pPr>
        <w:numPr>
          <w:ilvl w:val="0"/>
          <w:numId w:val="8"/>
        </w:numPr>
        <w:ind w:left="357" w:hanging="357"/>
        <w:contextualSpacing/>
        <w:rPr>
          <w:lang w:eastAsia="hi-IN" w:bidi="hi-IN"/>
        </w:rPr>
      </w:pPr>
      <w:r w:rsidRPr="003B234D">
        <w:t>Uzdot Centrālās pārvaldes Attīstības un projektu nodaļai:</w:t>
      </w:r>
    </w:p>
    <w:p w14:paraId="54FFBA7F" w14:textId="77777777" w:rsidR="003B234D" w:rsidRPr="003B234D" w:rsidRDefault="003B234D" w:rsidP="003B234D">
      <w:pPr>
        <w:numPr>
          <w:ilvl w:val="1"/>
          <w:numId w:val="7"/>
        </w:numPr>
        <w:ind w:left="964" w:hanging="567"/>
        <w:contextualSpacing/>
      </w:pPr>
      <w:r w:rsidRPr="003B234D">
        <w:t>aktualizēt sabiedrības līdzdalības plāna tekstu atbilstoši šim lēmumam;</w:t>
      </w:r>
    </w:p>
    <w:p w14:paraId="71A26BCE" w14:textId="77777777" w:rsidR="003B234D" w:rsidRPr="003B234D" w:rsidRDefault="003B234D" w:rsidP="003B234D">
      <w:pPr>
        <w:numPr>
          <w:ilvl w:val="1"/>
          <w:numId w:val="7"/>
        </w:numPr>
        <w:ind w:left="964" w:hanging="567"/>
        <w:contextualSpacing/>
      </w:pPr>
      <w:r w:rsidRPr="003B234D">
        <w:lastRenderedPageBreak/>
        <w:t>nodrošināt precizētās informācijas nosūtīšanu Vidzemes plānošanas reģionam un publicēšanu TAPIS sistēmā.</w:t>
      </w:r>
    </w:p>
    <w:p w14:paraId="7F0EBD96" w14:textId="77777777" w:rsidR="003B234D" w:rsidRPr="003B234D" w:rsidRDefault="003B234D" w:rsidP="003B234D">
      <w:pPr>
        <w:numPr>
          <w:ilvl w:val="0"/>
          <w:numId w:val="8"/>
        </w:numPr>
        <w:ind w:left="357" w:hanging="357"/>
        <w:contextualSpacing/>
        <w:rPr>
          <w:lang w:eastAsia="hi-IN" w:bidi="hi-IN"/>
        </w:rPr>
      </w:pPr>
      <w:r w:rsidRPr="003B234D">
        <w:t xml:space="preserve">Limbažu novada pašvaldības Centrālās pārvaldes Sabiedrisko attiecību nodaļai veikt precizētās informācijas publicēšanu pašvaldības tīmekļvietnē </w:t>
      </w:r>
      <w:hyperlink r:id="rId8" w:history="1">
        <w:r w:rsidRPr="003B234D">
          <w:rPr>
            <w:color w:val="0563C1"/>
            <w:u w:val="single"/>
          </w:rPr>
          <w:t>www.limbazunovads.lv</w:t>
        </w:r>
      </w:hyperlink>
      <w:r w:rsidRPr="003B234D">
        <w:t xml:space="preserve"> sadaļā “Sabiedrības līdzdalība” un pašvaldības informatīvajā izdevumā.</w:t>
      </w:r>
    </w:p>
    <w:p w14:paraId="738C1827" w14:textId="77777777" w:rsidR="003B234D" w:rsidRPr="003B234D" w:rsidRDefault="003B234D" w:rsidP="003B234D">
      <w:pPr>
        <w:numPr>
          <w:ilvl w:val="0"/>
          <w:numId w:val="8"/>
        </w:numPr>
        <w:ind w:left="357" w:hanging="357"/>
        <w:contextualSpacing/>
        <w:rPr>
          <w:lang w:eastAsia="hi-IN" w:bidi="hi-IN"/>
        </w:rPr>
      </w:pPr>
      <w:r w:rsidRPr="003B234D">
        <w:t>Kontroli par lēmuma izpildi uzdot Limbažu novada pašvaldības izpilddirektoram.</w:t>
      </w:r>
    </w:p>
    <w:p w14:paraId="152ABDB4" w14:textId="23BC4DB4" w:rsidR="00724244" w:rsidRDefault="00724244" w:rsidP="00724244">
      <w:pPr>
        <w:rPr>
          <w:lang w:eastAsia="hi-IN" w:bidi="hi-IN"/>
        </w:rPr>
      </w:pPr>
    </w:p>
    <w:p w14:paraId="09FDA56C" w14:textId="62BFC818" w:rsidR="00724244" w:rsidRDefault="00724244" w:rsidP="00724244">
      <w:pPr>
        <w:rPr>
          <w:lang w:eastAsia="hi-IN" w:bidi="hi-IN"/>
        </w:rPr>
      </w:pPr>
    </w:p>
    <w:p w14:paraId="7DBCE103" w14:textId="77777777" w:rsidR="003B234D" w:rsidRPr="003B234D" w:rsidRDefault="003B234D" w:rsidP="003B234D">
      <w:pPr>
        <w:jc w:val="left"/>
        <w:rPr>
          <w:rFonts w:eastAsia="Calibri"/>
          <w:lang w:eastAsia="en-US"/>
        </w:rPr>
      </w:pPr>
      <w:r w:rsidRPr="003B234D">
        <w:rPr>
          <w:rFonts w:eastAsia="Calibri"/>
          <w:lang w:eastAsia="en-US"/>
        </w:rPr>
        <w:t>Limbažu novada pašvaldības</w:t>
      </w:r>
    </w:p>
    <w:p w14:paraId="52113948" w14:textId="77777777" w:rsidR="003B234D" w:rsidRPr="003B234D" w:rsidRDefault="003B234D" w:rsidP="003B234D">
      <w:pPr>
        <w:jc w:val="left"/>
        <w:rPr>
          <w:rFonts w:eastAsia="Calibri"/>
          <w:lang w:eastAsia="en-US"/>
        </w:rPr>
      </w:pPr>
      <w:r w:rsidRPr="003B234D">
        <w:rPr>
          <w:rFonts w:eastAsia="Calibri"/>
          <w:lang w:eastAsia="en-US"/>
        </w:rPr>
        <w:t>Domes priekšsēdētāja</w:t>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r>
      <w:r w:rsidRPr="003B234D">
        <w:rPr>
          <w:rFonts w:eastAsia="Calibri"/>
          <w:lang w:eastAsia="en-US"/>
        </w:rPr>
        <w:tab/>
        <w:t xml:space="preserve">S. </w:t>
      </w:r>
      <w:proofErr w:type="spellStart"/>
      <w:r w:rsidRPr="003B234D">
        <w:rPr>
          <w:rFonts w:eastAsia="Calibri"/>
          <w:lang w:eastAsia="en-US"/>
        </w:rPr>
        <w:t>Upmale</w:t>
      </w:r>
      <w:proofErr w:type="spellEnd"/>
    </w:p>
    <w:p w14:paraId="79CF6F78" w14:textId="77777777" w:rsidR="003B234D" w:rsidRPr="003B234D" w:rsidRDefault="003B234D" w:rsidP="003B234D">
      <w:pPr>
        <w:rPr>
          <w:rFonts w:eastAsia="Calibri"/>
          <w:lang w:eastAsia="en-US"/>
        </w:rPr>
      </w:pPr>
    </w:p>
    <w:p w14:paraId="25F45983" w14:textId="77777777" w:rsidR="003B234D" w:rsidRPr="003B234D" w:rsidRDefault="003B234D" w:rsidP="003B234D">
      <w:pPr>
        <w:rPr>
          <w:rFonts w:eastAsia="Calibri"/>
          <w:b/>
          <w:lang w:eastAsia="en-US"/>
        </w:rPr>
      </w:pPr>
    </w:p>
    <w:p w14:paraId="2A1AC770" w14:textId="77777777" w:rsidR="003B234D" w:rsidRPr="003B234D" w:rsidRDefault="003B234D" w:rsidP="003B234D">
      <w:pPr>
        <w:rPr>
          <w:rFonts w:eastAsia="Calibri"/>
          <w:b/>
          <w:lang w:eastAsia="en-US"/>
        </w:rPr>
      </w:pPr>
    </w:p>
    <w:p w14:paraId="6061ED26" w14:textId="77777777" w:rsidR="003B234D" w:rsidRPr="003B234D" w:rsidRDefault="003B234D" w:rsidP="003B234D">
      <w:pPr>
        <w:rPr>
          <w:rFonts w:eastAsia="Calibri"/>
          <w:sz w:val="20"/>
          <w:szCs w:val="20"/>
          <w:lang w:eastAsia="en-US"/>
        </w:rPr>
      </w:pPr>
      <w:r w:rsidRPr="003B234D">
        <w:rPr>
          <w:rFonts w:eastAsia="Calibri"/>
          <w:sz w:val="20"/>
          <w:szCs w:val="20"/>
          <w:lang w:eastAsia="en-US"/>
        </w:rPr>
        <w:t>ŠIS DOKUMENTS IR PARAKSTĪTS AR DROŠU ELEKTRONISKO PARAKSTU UN SATUR LAIKA ZĪMOGU</w:t>
      </w:r>
    </w:p>
    <w:p w14:paraId="4B2F63C9" w14:textId="77777777" w:rsidR="007F535F" w:rsidRDefault="007F535F" w:rsidP="00724244">
      <w:pPr>
        <w:rPr>
          <w:lang w:eastAsia="hi-IN" w:bidi="hi-IN"/>
        </w:rPr>
      </w:pPr>
      <w:bookmarkStart w:id="0" w:name="_GoBack"/>
      <w:bookmarkEnd w:id="0"/>
    </w:p>
    <w:sectPr w:rsidR="007F535F" w:rsidSect="00FC7D47">
      <w:headerReference w:type="defaul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B6981" w14:textId="77777777" w:rsidR="007F535F" w:rsidRDefault="007F535F" w:rsidP="007F535F">
      <w:r>
        <w:separator/>
      </w:r>
    </w:p>
  </w:endnote>
  <w:endnote w:type="continuationSeparator" w:id="0">
    <w:p w14:paraId="43767EEB" w14:textId="77777777" w:rsidR="007F535F" w:rsidRDefault="007F535F" w:rsidP="007F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34671" w14:textId="77777777" w:rsidR="007F535F" w:rsidRDefault="007F535F" w:rsidP="007F535F">
      <w:r>
        <w:separator/>
      </w:r>
    </w:p>
  </w:footnote>
  <w:footnote w:type="continuationSeparator" w:id="0">
    <w:p w14:paraId="249A9C4E" w14:textId="77777777" w:rsidR="007F535F" w:rsidRDefault="007F535F" w:rsidP="007F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533675"/>
      <w:docPartObj>
        <w:docPartGallery w:val="Page Numbers (Top of Page)"/>
        <w:docPartUnique/>
      </w:docPartObj>
    </w:sdtPr>
    <w:sdtEndPr/>
    <w:sdtContent>
      <w:p w14:paraId="762204A3" w14:textId="5C733B4F" w:rsidR="007F535F" w:rsidRDefault="007F535F">
        <w:pPr>
          <w:pStyle w:val="Galvene"/>
          <w:jc w:val="center"/>
        </w:pPr>
        <w:r>
          <w:fldChar w:fldCharType="begin"/>
        </w:r>
        <w:r>
          <w:instrText>PAGE   \* MERGEFORMAT</w:instrText>
        </w:r>
        <w:r>
          <w:fldChar w:fldCharType="separate"/>
        </w:r>
        <w:r w:rsidR="003B234D">
          <w:rPr>
            <w:noProof/>
          </w:rPr>
          <w:t>2</w:t>
        </w:r>
        <w:r>
          <w:fldChar w:fldCharType="end"/>
        </w:r>
      </w:p>
    </w:sdtContent>
  </w:sdt>
  <w:p w14:paraId="41CFA963" w14:textId="77777777" w:rsidR="007F535F" w:rsidRDefault="007F535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24F66"/>
    <w:multiLevelType w:val="multilevel"/>
    <w:tmpl w:val="997EF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D777AB"/>
    <w:multiLevelType w:val="hybridMultilevel"/>
    <w:tmpl w:val="080403E0"/>
    <w:lvl w:ilvl="0" w:tplc="2AF083F8">
      <w:start w:val="1"/>
      <w:numFmt w:val="decimal"/>
      <w:lvlText w:val="%1."/>
      <w:lvlJc w:val="left"/>
      <w:pPr>
        <w:ind w:left="720" w:hanging="360"/>
      </w:pPr>
      <w:rPr>
        <w:b w:val="0"/>
        <w:bCs/>
      </w:rPr>
    </w:lvl>
    <w:lvl w:ilvl="1" w:tplc="0B006AC0">
      <w:start w:val="1"/>
      <w:numFmt w:val="lowerLetter"/>
      <w:lvlText w:val="%2."/>
      <w:lvlJc w:val="left"/>
      <w:pPr>
        <w:ind w:left="1440" w:hanging="360"/>
      </w:pPr>
    </w:lvl>
    <w:lvl w:ilvl="2" w:tplc="C450D01A" w:tentative="1">
      <w:start w:val="1"/>
      <w:numFmt w:val="lowerRoman"/>
      <w:lvlText w:val="%3."/>
      <w:lvlJc w:val="right"/>
      <w:pPr>
        <w:ind w:left="2160" w:hanging="180"/>
      </w:pPr>
    </w:lvl>
    <w:lvl w:ilvl="3" w:tplc="EEB4F4BC" w:tentative="1">
      <w:start w:val="1"/>
      <w:numFmt w:val="decimal"/>
      <w:lvlText w:val="%4."/>
      <w:lvlJc w:val="left"/>
      <w:pPr>
        <w:ind w:left="2880" w:hanging="360"/>
      </w:pPr>
    </w:lvl>
    <w:lvl w:ilvl="4" w:tplc="6A16454E" w:tentative="1">
      <w:start w:val="1"/>
      <w:numFmt w:val="lowerLetter"/>
      <w:lvlText w:val="%5."/>
      <w:lvlJc w:val="left"/>
      <w:pPr>
        <w:ind w:left="3600" w:hanging="360"/>
      </w:pPr>
    </w:lvl>
    <w:lvl w:ilvl="5" w:tplc="532E8818" w:tentative="1">
      <w:start w:val="1"/>
      <w:numFmt w:val="lowerRoman"/>
      <w:lvlText w:val="%6."/>
      <w:lvlJc w:val="right"/>
      <w:pPr>
        <w:ind w:left="4320" w:hanging="180"/>
      </w:pPr>
    </w:lvl>
    <w:lvl w:ilvl="6" w:tplc="608AF3D4" w:tentative="1">
      <w:start w:val="1"/>
      <w:numFmt w:val="decimal"/>
      <w:lvlText w:val="%7."/>
      <w:lvlJc w:val="left"/>
      <w:pPr>
        <w:ind w:left="5040" w:hanging="360"/>
      </w:pPr>
    </w:lvl>
    <w:lvl w:ilvl="7" w:tplc="A9D85AB0" w:tentative="1">
      <w:start w:val="1"/>
      <w:numFmt w:val="lowerLetter"/>
      <w:lvlText w:val="%8."/>
      <w:lvlJc w:val="left"/>
      <w:pPr>
        <w:ind w:left="5760" w:hanging="360"/>
      </w:pPr>
    </w:lvl>
    <w:lvl w:ilvl="8" w:tplc="82988008" w:tentative="1">
      <w:start w:val="1"/>
      <w:numFmt w:val="lowerRoman"/>
      <w:lvlText w:val="%9."/>
      <w:lvlJc w:val="right"/>
      <w:pPr>
        <w:ind w:left="6480" w:hanging="180"/>
      </w:pPr>
    </w:lvl>
  </w:abstractNum>
  <w:abstractNum w:abstractNumId="3" w15:restartNumberingAfterBreak="0">
    <w:nsid w:val="28CA0B9A"/>
    <w:multiLevelType w:val="hybridMultilevel"/>
    <w:tmpl w:val="A31E68D0"/>
    <w:lvl w:ilvl="0" w:tplc="08A4BF4A">
      <w:start w:val="1"/>
      <w:numFmt w:val="decimal"/>
      <w:lvlText w:val="%1."/>
      <w:lvlJc w:val="left"/>
      <w:pPr>
        <w:ind w:left="720" w:hanging="360"/>
      </w:pPr>
    </w:lvl>
    <w:lvl w:ilvl="1" w:tplc="197ADAD4" w:tentative="1">
      <w:start w:val="1"/>
      <w:numFmt w:val="lowerLetter"/>
      <w:lvlText w:val="%2."/>
      <w:lvlJc w:val="left"/>
      <w:pPr>
        <w:ind w:left="1440" w:hanging="360"/>
      </w:pPr>
    </w:lvl>
    <w:lvl w:ilvl="2" w:tplc="97E227E2" w:tentative="1">
      <w:start w:val="1"/>
      <w:numFmt w:val="lowerRoman"/>
      <w:lvlText w:val="%3."/>
      <w:lvlJc w:val="right"/>
      <w:pPr>
        <w:ind w:left="2160" w:hanging="180"/>
      </w:pPr>
    </w:lvl>
    <w:lvl w:ilvl="3" w:tplc="965A9502" w:tentative="1">
      <w:start w:val="1"/>
      <w:numFmt w:val="decimal"/>
      <w:lvlText w:val="%4."/>
      <w:lvlJc w:val="left"/>
      <w:pPr>
        <w:ind w:left="2880" w:hanging="360"/>
      </w:pPr>
    </w:lvl>
    <w:lvl w:ilvl="4" w:tplc="042A23AE" w:tentative="1">
      <w:start w:val="1"/>
      <w:numFmt w:val="lowerLetter"/>
      <w:lvlText w:val="%5."/>
      <w:lvlJc w:val="left"/>
      <w:pPr>
        <w:ind w:left="3600" w:hanging="360"/>
      </w:pPr>
    </w:lvl>
    <w:lvl w:ilvl="5" w:tplc="22A6A35C" w:tentative="1">
      <w:start w:val="1"/>
      <w:numFmt w:val="lowerRoman"/>
      <w:lvlText w:val="%6."/>
      <w:lvlJc w:val="right"/>
      <w:pPr>
        <w:ind w:left="4320" w:hanging="180"/>
      </w:pPr>
    </w:lvl>
    <w:lvl w:ilvl="6" w:tplc="6AD86C72" w:tentative="1">
      <w:start w:val="1"/>
      <w:numFmt w:val="decimal"/>
      <w:lvlText w:val="%7."/>
      <w:lvlJc w:val="left"/>
      <w:pPr>
        <w:ind w:left="5040" w:hanging="360"/>
      </w:pPr>
    </w:lvl>
    <w:lvl w:ilvl="7" w:tplc="A94C5220" w:tentative="1">
      <w:start w:val="1"/>
      <w:numFmt w:val="lowerLetter"/>
      <w:lvlText w:val="%8."/>
      <w:lvlJc w:val="left"/>
      <w:pPr>
        <w:ind w:left="5760" w:hanging="360"/>
      </w:pPr>
    </w:lvl>
    <w:lvl w:ilvl="8" w:tplc="1AF212AA" w:tentative="1">
      <w:start w:val="1"/>
      <w:numFmt w:val="lowerRoman"/>
      <w:lvlText w:val="%9."/>
      <w:lvlJc w:val="right"/>
      <w:pPr>
        <w:ind w:left="6480" w:hanging="180"/>
      </w:pPr>
    </w:lvl>
  </w:abstractNum>
  <w:abstractNum w:abstractNumId="4" w15:restartNumberingAfterBreak="0">
    <w:nsid w:val="3B1C57D6"/>
    <w:multiLevelType w:val="multilevel"/>
    <w:tmpl w:val="051EAEE2"/>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D24575"/>
    <w:multiLevelType w:val="hybridMultilevel"/>
    <w:tmpl w:val="A8A68854"/>
    <w:lvl w:ilvl="0" w:tplc="2B5E023E">
      <w:start w:val="1"/>
      <w:numFmt w:val="decimal"/>
      <w:lvlText w:val="%1."/>
      <w:lvlJc w:val="left"/>
      <w:pPr>
        <w:ind w:left="720" w:hanging="360"/>
      </w:pPr>
    </w:lvl>
    <w:lvl w:ilvl="1" w:tplc="3D0A27F2">
      <w:start w:val="1"/>
      <w:numFmt w:val="lowerLetter"/>
      <w:lvlText w:val="%2."/>
      <w:lvlJc w:val="left"/>
      <w:pPr>
        <w:ind w:left="1440" w:hanging="360"/>
      </w:pPr>
    </w:lvl>
    <w:lvl w:ilvl="2" w:tplc="B8D45274" w:tentative="1">
      <w:start w:val="1"/>
      <w:numFmt w:val="lowerRoman"/>
      <w:lvlText w:val="%3."/>
      <w:lvlJc w:val="right"/>
      <w:pPr>
        <w:ind w:left="2160" w:hanging="180"/>
      </w:pPr>
    </w:lvl>
    <w:lvl w:ilvl="3" w:tplc="C6DEAEE0" w:tentative="1">
      <w:start w:val="1"/>
      <w:numFmt w:val="decimal"/>
      <w:lvlText w:val="%4."/>
      <w:lvlJc w:val="left"/>
      <w:pPr>
        <w:ind w:left="2880" w:hanging="360"/>
      </w:pPr>
    </w:lvl>
    <w:lvl w:ilvl="4" w:tplc="7780DF92" w:tentative="1">
      <w:start w:val="1"/>
      <w:numFmt w:val="lowerLetter"/>
      <w:lvlText w:val="%5."/>
      <w:lvlJc w:val="left"/>
      <w:pPr>
        <w:ind w:left="3600" w:hanging="360"/>
      </w:pPr>
    </w:lvl>
    <w:lvl w:ilvl="5" w:tplc="652A6A04" w:tentative="1">
      <w:start w:val="1"/>
      <w:numFmt w:val="lowerRoman"/>
      <w:lvlText w:val="%6."/>
      <w:lvlJc w:val="right"/>
      <w:pPr>
        <w:ind w:left="4320" w:hanging="180"/>
      </w:pPr>
    </w:lvl>
    <w:lvl w:ilvl="6" w:tplc="7820D39A" w:tentative="1">
      <w:start w:val="1"/>
      <w:numFmt w:val="decimal"/>
      <w:lvlText w:val="%7."/>
      <w:lvlJc w:val="left"/>
      <w:pPr>
        <w:ind w:left="5040" w:hanging="360"/>
      </w:pPr>
    </w:lvl>
    <w:lvl w:ilvl="7" w:tplc="733A0EEA" w:tentative="1">
      <w:start w:val="1"/>
      <w:numFmt w:val="lowerLetter"/>
      <w:lvlText w:val="%8."/>
      <w:lvlJc w:val="left"/>
      <w:pPr>
        <w:ind w:left="5760" w:hanging="360"/>
      </w:pPr>
    </w:lvl>
    <w:lvl w:ilvl="8" w:tplc="876CC964" w:tentative="1">
      <w:start w:val="1"/>
      <w:numFmt w:val="lowerRoman"/>
      <w:lvlText w:val="%9."/>
      <w:lvlJc w:val="right"/>
      <w:pPr>
        <w:ind w:left="6480" w:hanging="180"/>
      </w:pPr>
    </w:lvl>
  </w:abstractNum>
  <w:abstractNum w:abstractNumId="6" w15:restartNumberingAfterBreak="0">
    <w:nsid w:val="69691D8A"/>
    <w:multiLevelType w:val="multilevel"/>
    <w:tmpl w:val="DBEA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85FFF"/>
    <w:multiLevelType w:val="multilevel"/>
    <w:tmpl w:val="FDBA6D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EA"/>
    <w:rsid w:val="000661EA"/>
    <w:rsid w:val="00070CA9"/>
    <w:rsid w:val="00090822"/>
    <w:rsid w:val="0009600B"/>
    <w:rsid w:val="000A02D3"/>
    <w:rsid w:val="000A73A8"/>
    <w:rsid w:val="000B7A18"/>
    <w:rsid w:val="000F1262"/>
    <w:rsid w:val="00131843"/>
    <w:rsid w:val="001360ED"/>
    <w:rsid w:val="001D5338"/>
    <w:rsid w:val="001F2CC9"/>
    <w:rsid w:val="001F3440"/>
    <w:rsid w:val="001F5744"/>
    <w:rsid w:val="0020414D"/>
    <w:rsid w:val="002F6C12"/>
    <w:rsid w:val="00300F9D"/>
    <w:rsid w:val="00314AB1"/>
    <w:rsid w:val="00351A80"/>
    <w:rsid w:val="00397EAF"/>
    <w:rsid w:val="003B234D"/>
    <w:rsid w:val="003C6581"/>
    <w:rsid w:val="00413C59"/>
    <w:rsid w:val="004A6936"/>
    <w:rsid w:val="004B2C5C"/>
    <w:rsid w:val="004C063E"/>
    <w:rsid w:val="004C7390"/>
    <w:rsid w:val="004E556B"/>
    <w:rsid w:val="00574FA5"/>
    <w:rsid w:val="00577BEF"/>
    <w:rsid w:val="005B2342"/>
    <w:rsid w:val="005B72E9"/>
    <w:rsid w:val="005C125C"/>
    <w:rsid w:val="006456B0"/>
    <w:rsid w:val="00671977"/>
    <w:rsid w:val="00690C91"/>
    <w:rsid w:val="00693F37"/>
    <w:rsid w:val="00696EC3"/>
    <w:rsid w:val="006B2306"/>
    <w:rsid w:val="006C5375"/>
    <w:rsid w:val="00724244"/>
    <w:rsid w:val="007468FD"/>
    <w:rsid w:val="0074786F"/>
    <w:rsid w:val="0077141B"/>
    <w:rsid w:val="00775F81"/>
    <w:rsid w:val="007F535F"/>
    <w:rsid w:val="008043A2"/>
    <w:rsid w:val="0080445D"/>
    <w:rsid w:val="0081004A"/>
    <w:rsid w:val="008455C2"/>
    <w:rsid w:val="00881517"/>
    <w:rsid w:val="00881BBD"/>
    <w:rsid w:val="008D001C"/>
    <w:rsid w:val="008E370D"/>
    <w:rsid w:val="008E4909"/>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C31E1D"/>
    <w:rsid w:val="00C432D4"/>
    <w:rsid w:val="00CB0B02"/>
    <w:rsid w:val="00CD3A23"/>
    <w:rsid w:val="00CE0CAA"/>
    <w:rsid w:val="00D13EBB"/>
    <w:rsid w:val="00D735D8"/>
    <w:rsid w:val="00D76A53"/>
    <w:rsid w:val="00D87258"/>
    <w:rsid w:val="00DA4145"/>
    <w:rsid w:val="00DB4D10"/>
    <w:rsid w:val="00DB5B97"/>
    <w:rsid w:val="00DE03F1"/>
    <w:rsid w:val="00DE0779"/>
    <w:rsid w:val="00DE105D"/>
    <w:rsid w:val="00DF436E"/>
    <w:rsid w:val="00E03D67"/>
    <w:rsid w:val="00E55F2E"/>
    <w:rsid w:val="00E76598"/>
    <w:rsid w:val="00E7661A"/>
    <w:rsid w:val="00EC34E6"/>
    <w:rsid w:val="00EF5284"/>
    <w:rsid w:val="00F620F1"/>
    <w:rsid w:val="00F87AF8"/>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F620F1"/>
    <w:rPr>
      <w:color w:val="0563C1" w:themeColor="hyperlink"/>
      <w:u w:val="single"/>
    </w:rPr>
  </w:style>
  <w:style w:type="table" w:styleId="Reatabula">
    <w:name w:val="Table Grid"/>
    <w:basedOn w:val="Parastatabula"/>
    <w:uiPriority w:val="59"/>
    <w:rsid w:val="003B23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2235</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5</cp:revision>
  <cp:lastPrinted>2022-01-04T14:14:00Z</cp:lastPrinted>
  <dcterms:created xsi:type="dcterms:W3CDTF">2026-02-03T14:50:00Z</dcterms:created>
  <dcterms:modified xsi:type="dcterms:W3CDTF">2026-06-01T08:00:00Z</dcterms:modified>
</cp:coreProperties>
</file>