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0562C" w14:textId="71842289" w:rsidR="00FC7D47" w:rsidRPr="00300F9D" w:rsidRDefault="00833FD9" w:rsidP="008E4909">
      <w:pPr>
        <w:pStyle w:val="Nosaukums"/>
        <w:rPr>
          <w:b w:val="0"/>
          <w:bCs w:val="0"/>
          <w:caps/>
          <w:sz w:val="28"/>
          <w:szCs w:val="28"/>
        </w:rPr>
      </w:pPr>
      <w:r w:rsidRPr="00300F9D">
        <w:rPr>
          <w:caps/>
          <w:noProof/>
          <w:lang w:val="lv-LV" w:eastAsia="lv-LV"/>
        </w:rPr>
        <w:drawing>
          <wp:anchor distT="0" distB="0" distL="114300" distR="114300" simplePos="0" relativeHeight="251658240" behindDoc="0" locked="0" layoutInCell="1" allowOverlap="1">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0F9D">
        <w:rPr>
          <w:caps/>
          <w:sz w:val="28"/>
          <w:szCs w:val="28"/>
        </w:rPr>
        <w:t xml:space="preserve">Limbažu novada </w:t>
      </w:r>
      <w:r w:rsidR="00F87AF8">
        <w:rPr>
          <w:caps/>
          <w:noProof/>
          <w:sz w:val="28"/>
          <w:szCs w:val="28"/>
        </w:rPr>
        <w:t>PAŠVALDĪBAS</w:t>
      </w:r>
      <w:r w:rsidR="00F87AF8" w:rsidRPr="00300F9D">
        <w:rPr>
          <w:caps/>
          <w:sz w:val="28"/>
          <w:szCs w:val="28"/>
        </w:rPr>
        <w:t xml:space="preserve"> </w:t>
      </w:r>
      <w:r w:rsidR="000F1262" w:rsidRPr="00300F9D">
        <w:rPr>
          <w:caps/>
          <w:sz w:val="28"/>
          <w:szCs w:val="28"/>
        </w:rPr>
        <w:t>DOME</w:t>
      </w:r>
    </w:p>
    <w:p w14:paraId="53C946B0" w14:textId="5F0010DA" w:rsidR="00FC7D47" w:rsidRPr="00300F9D" w:rsidRDefault="00833FD9" w:rsidP="00E76598">
      <w:pPr>
        <w:jc w:val="center"/>
        <w:rPr>
          <w:sz w:val="18"/>
          <w:szCs w:val="20"/>
        </w:rPr>
      </w:pPr>
      <w:proofErr w:type="spellStart"/>
      <w:r w:rsidRPr="00300F9D">
        <w:rPr>
          <w:sz w:val="18"/>
          <w:szCs w:val="20"/>
        </w:rPr>
        <w:t>Reģ</w:t>
      </w:r>
      <w:proofErr w:type="spellEnd"/>
      <w:r w:rsidRPr="00300F9D">
        <w:rPr>
          <w:sz w:val="18"/>
          <w:szCs w:val="20"/>
        </w:rPr>
        <w:t xml:space="preserve">. Nr. </w:t>
      </w:r>
      <w:r w:rsidR="000F1262" w:rsidRPr="00300F9D">
        <w:rPr>
          <w:sz w:val="18"/>
          <w:szCs w:val="20"/>
        </w:rPr>
        <w:t>90009114631</w:t>
      </w:r>
      <w:r w:rsidRPr="00300F9D">
        <w:rPr>
          <w:sz w:val="18"/>
          <w:szCs w:val="20"/>
        </w:rPr>
        <w:t xml:space="preserve">; Rīgas iela 16, Limbaži, Limbažu novads LV-4001; </w:t>
      </w:r>
    </w:p>
    <w:p w14:paraId="6BA99F62" w14:textId="4170F003" w:rsidR="00FC7D47" w:rsidRPr="00300F9D" w:rsidRDefault="00833FD9" w:rsidP="00E76598">
      <w:pPr>
        <w:jc w:val="center"/>
        <w:rPr>
          <w:sz w:val="18"/>
          <w:szCs w:val="20"/>
        </w:rPr>
      </w:pPr>
      <w:r w:rsidRPr="00300F9D">
        <w:rPr>
          <w:sz w:val="18"/>
          <w:szCs w:val="20"/>
        </w:rPr>
        <w:t>E-pasts</w:t>
      </w:r>
      <w:r w:rsidRPr="00300F9D">
        <w:rPr>
          <w:iCs/>
          <w:sz w:val="18"/>
          <w:szCs w:val="20"/>
        </w:rPr>
        <w:t xml:space="preserve"> </w:t>
      </w:r>
      <w:r w:rsidR="00690C91" w:rsidRPr="00300F9D">
        <w:rPr>
          <w:iCs/>
          <w:sz w:val="18"/>
          <w:szCs w:val="20"/>
        </w:rPr>
        <w:t>pasts</w:t>
      </w:r>
      <w:r w:rsidRPr="00300F9D">
        <w:rPr>
          <w:iCs/>
          <w:sz w:val="18"/>
          <w:szCs w:val="20"/>
        </w:rPr>
        <w:t>@limbazunovads.lv;</w:t>
      </w:r>
      <w:r w:rsidRPr="00300F9D">
        <w:rPr>
          <w:sz w:val="18"/>
          <w:szCs w:val="20"/>
        </w:rPr>
        <w:t xml:space="preserve"> tālrunis 64023003</w:t>
      </w:r>
    </w:p>
    <w:p w14:paraId="39094A24" w14:textId="346E2C28" w:rsidR="00300F9D" w:rsidRPr="00300F9D" w:rsidRDefault="00300F9D" w:rsidP="0074786F">
      <w:pPr>
        <w:tabs>
          <w:tab w:val="left" w:pos="490"/>
        </w:tabs>
        <w:rPr>
          <w:lang w:eastAsia="en-US"/>
        </w:rPr>
      </w:pPr>
    </w:p>
    <w:p w14:paraId="6657EEDD" w14:textId="77777777" w:rsidR="005822F1" w:rsidRPr="005822F1" w:rsidRDefault="005822F1" w:rsidP="005822F1">
      <w:pPr>
        <w:tabs>
          <w:tab w:val="center" w:pos="4819"/>
          <w:tab w:val="left" w:pos="5895"/>
        </w:tabs>
        <w:jc w:val="center"/>
        <w:rPr>
          <w:b/>
          <w:bCs/>
          <w:lang w:eastAsia="en-US"/>
        </w:rPr>
      </w:pPr>
      <w:r w:rsidRPr="005822F1">
        <w:rPr>
          <w:b/>
          <w:bCs/>
          <w:lang w:eastAsia="en-US"/>
        </w:rPr>
        <w:t>LĒMUMS</w:t>
      </w:r>
    </w:p>
    <w:p w14:paraId="56738FD7" w14:textId="77777777" w:rsidR="005822F1" w:rsidRPr="005822F1" w:rsidRDefault="005822F1" w:rsidP="005822F1">
      <w:pPr>
        <w:tabs>
          <w:tab w:val="center" w:pos="4819"/>
          <w:tab w:val="left" w:pos="5865"/>
        </w:tabs>
        <w:jc w:val="center"/>
        <w:rPr>
          <w:bCs/>
          <w:lang w:eastAsia="en-US"/>
        </w:rPr>
      </w:pPr>
      <w:r w:rsidRPr="005822F1">
        <w:rPr>
          <w:bCs/>
          <w:lang w:eastAsia="en-US"/>
        </w:rPr>
        <w:t>Limbažos</w:t>
      </w:r>
    </w:p>
    <w:p w14:paraId="2A62191A" w14:textId="77777777" w:rsidR="005822F1" w:rsidRPr="005822F1" w:rsidRDefault="005822F1" w:rsidP="005822F1">
      <w:pPr>
        <w:jc w:val="center"/>
        <w:rPr>
          <w:b/>
          <w:bCs/>
          <w:lang w:eastAsia="en-US"/>
        </w:rPr>
      </w:pPr>
    </w:p>
    <w:tbl>
      <w:tblPr>
        <w:tblStyle w:val="Reatabula"/>
        <w:tblpPr w:leftFromText="180" w:rightFromText="180" w:vertAnchor="text" w:tblpY="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gridCol w:w="3017"/>
        <w:gridCol w:w="3402"/>
      </w:tblGrid>
      <w:tr w:rsidR="005822F1" w:rsidRPr="005822F1" w14:paraId="689A0487" w14:textId="77777777" w:rsidTr="00281717">
        <w:tc>
          <w:tcPr>
            <w:tcW w:w="3219" w:type="dxa"/>
          </w:tcPr>
          <w:p w14:paraId="1069C6CD" w14:textId="77777777" w:rsidR="005822F1" w:rsidRPr="005822F1" w:rsidRDefault="005822F1" w:rsidP="005822F1">
            <w:pPr>
              <w:jc w:val="left"/>
              <w:rPr>
                <w:b/>
                <w:bCs/>
              </w:rPr>
            </w:pPr>
            <w:r w:rsidRPr="005822F1">
              <w:rPr>
                <w:rFonts w:eastAsia="Calibri"/>
                <w:bCs/>
              </w:rPr>
              <w:t>2026. gada 28. maijā</w:t>
            </w:r>
          </w:p>
        </w:tc>
        <w:tc>
          <w:tcPr>
            <w:tcW w:w="3017" w:type="dxa"/>
          </w:tcPr>
          <w:p w14:paraId="44FC5D78" w14:textId="77777777" w:rsidR="005822F1" w:rsidRPr="005822F1" w:rsidRDefault="005822F1" w:rsidP="005822F1">
            <w:pPr>
              <w:jc w:val="right"/>
              <w:rPr>
                <w:bCs/>
              </w:rPr>
            </w:pPr>
          </w:p>
        </w:tc>
        <w:tc>
          <w:tcPr>
            <w:tcW w:w="3402" w:type="dxa"/>
          </w:tcPr>
          <w:p w14:paraId="209AAAE0" w14:textId="4CD1BA90" w:rsidR="005822F1" w:rsidRPr="005822F1" w:rsidRDefault="005822F1" w:rsidP="005822F1">
            <w:pPr>
              <w:jc w:val="left"/>
              <w:rPr>
                <w:b/>
                <w:bCs/>
              </w:rPr>
            </w:pPr>
            <w:r w:rsidRPr="005822F1">
              <w:rPr>
                <w:bCs/>
              </w:rPr>
              <w:t xml:space="preserve">                  Nr.</w:t>
            </w:r>
            <w:r w:rsidRPr="005822F1">
              <w:rPr>
                <w:bCs/>
              </w:rPr>
              <w:t>394</w:t>
            </w:r>
          </w:p>
        </w:tc>
      </w:tr>
      <w:tr w:rsidR="005822F1" w:rsidRPr="005822F1" w14:paraId="69A147FA" w14:textId="77777777" w:rsidTr="00281717">
        <w:tc>
          <w:tcPr>
            <w:tcW w:w="3219" w:type="dxa"/>
          </w:tcPr>
          <w:p w14:paraId="77AC8EE0" w14:textId="77777777" w:rsidR="005822F1" w:rsidRPr="005822F1" w:rsidRDefault="005822F1" w:rsidP="005822F1">
            <w:pPr>
              <w:jc w:val="center"/>
              <w:rPr>
                <w:b/>
                <w:bCs/>
              </w:rPr>
            </w:pPr>
          </w:p>
        </w:tc>
        <w:tc>
          <w:tcPr>
            <w:tcW w:w="3017" w:type="dxa"/>
          </w:tcPr>
          <w:p w14:paraId="31F20D6E" w14:textId="77777777" w:rsidR="005822F1" w:rsidRPr="005822F1" w:rsidRDefault="005822F1" w:rsidP="005822F1">
            <w:pPr>
              <w:jc w:val="right"/>
              <w:rPr>
                <w:bCs/>
              </w:rPr>
            </w:pPr>
          </w:p>
        </w:tc>
        <w:tc>
          <w:tcPr>
            <w:tcW w:w="3402" w:type="dxa"/>
          </w:tcPr>
          <w:p w14:paraId="2DF9F7B9" w14:textId="6EC62F26" w:rsidR="005822F1" w:rsidRPr="005822F1" w:rsidRDefault="005822F1" w:rsidP="005822F1">
            <w:pPr>
              <w:jc w:val="right"/>
              <w:rPr>
                <w:bCs/>
              </w:rPr>
            </w:pPr>
            <w:r w:rsidRPr="005822F1">
              <w:rPr>
                <w:bCs/>
              </w:rPr>
              <w:t xml:space="preserve">(protokols Nr.11, </w:t>
            </w:r>
            <w:r w:rsidRPr="005822F1">
              <w:rPr>
                <w:bCs/>
              </w:rPr>
              <w:t>38</w:t>
            </w:r>
            <w:r w:rsidRPr="005822F1">
              <w:rPr>
                <w:bCs/>
              </w:rPr>
              <w:t>.)</w:t>
            </w:r>
          </w:p>
        </w:tc>
      </w:tr>
    </w:tbl>
    <w:p w14:paraId="2F736253" w14:textId="7B7D1C31" w:rsidR="00300F9D" w:rsidRDefault="00300F9D" w:rsidP="00300F9D">
      <w:pPr>
        <w:tabs>
          <w:tab w:val="left" w:pos="490"/>
        </w:tabs>
        <w:jc w:val="center"/>
        <w:rPr>
          <w:lang w:eastAsia="en-US"/>
        </w:rPr>
      </w:pPr>
    </w:p>
    <w:p w14:paraId="4219453B" w14:textId="77777777" w:rsidR="00300F9D" w:rsidRPr="00300F9D" w:rsidRDefault="00300F9D" w:rsidP="0074786F">
      <w:pPr>
        <w:tabs>
          <w:tab w:val="left" w:pos="490"/>
        </w:tabs>
        <w:rPr>
          <w:lang w:eastAsia="en-US"/>
        </w:rPr>
      </w:pPr>
    </w:p>
    <w:p w14:paraId="1532A309" w14:textId="77777777" w:rsidR="005822F1" w:rsidRPr="005822F1" w:rsidRDefault="005822F1" w:rsidP="005822F1">
      <w:pPr>
        <w:pBdr>
          <w:bottom w:val="single" w:sz="6" w:space="1" w:color="auto"/>
        </w:pBdr>
        <w:rPr>
          <w:b/>
          <w:bCs/>
        </w:rPr>
      </w:pPr>
      <w:r w:rsidRPr="005822F1">
        <w:rPr>
          <w:b/>
          <w:bCs/>
          <w:noProof/>
        </w:rPr>
        <w:t>Par kolektīvā iesnieguma izskatīšanu</w:t>
      </w:r>
    </w:p>
    <w:p w14:paraId="52A54F82" w14:textId="77777777" w:rsidR="005822F1" w:rsidRPr="005822F1" w:rsidRDefault="005822F1" w:rsidP="005822F1">
      <w:pPr>
        <w:suppressAutoHyphens/>
        <w:jc w:val="center"/>
      </w:pPr>
      <w:r w:rsidRPr="005822F1">
        <w:t xml:space="preserve">Ziņo Sigita </w:t>
      </w:r>
      <w:proofErr w:type="spellStart"/>
      <w:r w:rsidRPr="005822F1">
        <w:t>Upmale</w:t>
      </w:r>
      <w:proofErr w:type="spellEnd"/>
    </w:p>
    <w:p w14:paraId="2AE813C2" w14:textId="77777777" w:rsidR="005822F1" w:rsidRPr="005822F1" w:rsidRDefault="005822F1" w:rsidP="005822F1"/>
    <w:p w14:paraId="244AB1AD" w14:textId="77777777" w:rsidR="005822F1" w:rsidRPr="005822F1" w:rsidRDefault="005822F1" w:rsidP="005822F1">
      <w:pPr>
        <w:ind w:firstLine="720"/>
      </w:pPr>
      <w:r w:rsidRPr="005822F1">
        <w:t xml:space="preserve">Limbažu novada pašvaldības (turpmāk – pašvaldība) Centrālajā pārvaldē 2026.gada 23.aprīlī tika saņemts kolektīvais iesniegums (reģistrēts pašvaldībā DVS Namejs ar </w:t>
      </w:r>
      <w:proofErr w:type="spellStart"/>
      <w:r w:rsidRPr="005822F1">
        <w:t>reģ</w:t>
      </w:r>
      <w:proofErr w:type="spellEnd"/>
      <w:r w:rsidRPr="005822F1">
        <w:t xml:space="preserve">. Nr. 4.8.3/26/3016), turpmāk –  Iesniegums, saistībā ar platformā ManaBalss.lv publicēto parakstu vākšanas iniciatīvu “PAR BIOLOĢISKĀS DAUDZVEIDĪBAS SAGLABĀŠANU ZIEMEĻVIDZEMES BIOSFĒRAS REZERVĀTĀ”, kuru līdz 2026. gada 21. aprīlim parakstījuši 932 iniciatīvas atbalstītāji. Iesniegumā cita starpā norādīts, ka, ņemot vērā prasības par personu datu aizsardzību, iedzīvotāju parakstus elektroniskā formātā iesniegs portāla ManaBalss.lv uzturētāji, t.i., Sabiedrības Līdzdalības Fonds (reģistrācijas numurs 40008164462). 2026. gada 24. aprīlī pašvaldībā saņemts nodibinājuma “Sabiedrības Līdzdalības Fonds” 2026. gada 23. aprīļa dokuments (reģistrēts pašvaldībā DVS Namejs ar </w:t>
      </w:r>
      <w:proofErr w:type="spellStart"/>
      <w:r w:rsidRPr="005822F1">
        <w:t>reģ</w:t>
      </w:r>
      <w:proofErr w:type="spellEnd"/>
      <w:r w:rsidRPr="005822F1">
        <w:t xml:space="preserve">. Nr. 4.8.3/26/3070), ar kuru tiek iesniegts fails ar iniciatīvas "PAR BIOLOĢISKĀS DAUDZVEIDĪBAS SAGLABĀŠANU ZIEMEĻVIDZEMES BIOSFĒRAS REZERVĀTĀ" iedzīvotāju parakstiem elektroniskā formātā, kas savākti un apkopoti portālā ManaBalss.lv. </w:t>
      </w:r>
    </w:p>
    <w:p w14:paraId="608EF62A" w14:textId="77777777" w:rsidR="005822F1" w:rsidRPr="005822F1" w:rsidRDefault="005822F1" w:rsidP="005822F1">
      <w:pPr>
        <w:ind w:firstLine="720"/>
      </w:pPr>
      <w:r w:rsidRPr="005822F1">
        <w:t>Iesniegumā norādīts, ka ar šo iniciatīvu tiek aicināts apturēt plānu par vēja parka “Limbaži” izbūvi meža teritorijā Ziemeļvidzemes biosfēras rezervātā Limbažu novada Salacgrīvas un Viļķenes pagastos, kas būtiski un neatgriezeniski var ietekmēt šā reģiona bioloģisko daudzveidību, kas Iesniegumā pamatots ar šādiem apstākļiem:</w:t>
      </w:r>
    </w:p>
    <w:p w14:paraId="67868B90" w14:textId="77777777" w:rsidR="005822F1" w:rsidRPr="005822F1" w:rsidRDefault="005822F1" w:rsidP="005822F1">
      <w:pPr>
        <w:numPr>
          <w:ilvl w:val="0"/>
          <w:numId w:val="4"/>
        </w:numPr>
        <w:contextualSpacing/>
      </w:pPr>
      <w:r w:rsidRPr="005822F1">
        <w:t>Šobrīd Latvijā šādu VES būvniecība ir tikai attīstības sākuma stadijā, tāpēc nav iespējams pilnīgi objektīvi novērtēt to būvniecības un turpmākās darbības ietekmi uz šādām īpaši aizsargājamajām tuvumā esošām teritorijām, dzīvnieku, putnu, kukaiņu, augu sugām. Esošie pētījumi liecina, ka šādu VES apkārtnē esošā fauna un flora izmainās (Iesnieguma pielikumā – papildus informācija);</w:t>
      </w:r>
    </w:p>
    <w:p w14:paraId="2FA4F924" w14:textId="77777777" w:rsidR="005822F1" w:rsidRPr="005822F1" w:rsidRDefault="005822F1" w:rsidP="005822F1">
      <w:pPr>
        <w:numPr>
          <w:ilvl w:val="0"/>
          <w:numId w:val="4"/>
        </w:numPr>
        <w:contextualSpacing/>
      </w:pPr>
      <w:r w:rsidRPr="005822F1">
        <w:t xml:space="preserve">Novērtējam pašreizējos centienus panākt maksimālu </w:t>
      </w:r>
      <w:proofErr w:type="spellStart"/>
      <w:r w:rsidRPr="005822F1">
        <w:t>energoneatkarību</w:t>
      </w:r>
      <w:proofErr w:type="spellEnd"/>
      <w:r w:rsidRPr="005822F1">
        <w:t xml:space="preserve"> un ilgtermiņa atjaunojamās enerģijas palielināšanu Latvijā, bet vēlamies arī, lai tas ilgtermiņā neatstātu iespaidu uz augu, putnu un dzīvnieku daudzveidību saglabāšanu, kas tomēr ir starp klimata politikas prioritātēm. Dabas pētnieki, ieskaitot ornitologus, ir bažīgi par šādu parku izvietošana mežu teritorijās. Šādu VES būvniecība un izmantošana ir jāparedz apvidos, kur ir vismazākā ietekme uz vides daudzveidību, piemēram, atklātās teritorijās, kas nepieprasa lielu iejaukšanos jau esošajā vidē.</w:t>
      </w:r>
    </w:p>
    <w:p w14:paraId="66F6AE25" w14:textId="77777777" w:rsidR="005822F1" w:rsidRPr="005822F1" w:rsidRDefault="005822F1" w:rsidP="005822F1">
      <w:pPr>
        <w:ind w:firstLine="720"/>
      </w:pPr>
      <w:r w:rsidRPr="005822F1">
        <w:t xml:space="preserve">Atbilstoši Pašvaldību likuma 56. panta pirmajai, otrajai daļai un trešajai daļai, kolektīvo iesniegumu pašvaldībai par tās kompetencē esošiem jautājumiem ir tiesīgi iesniegt Latvijas Republikas pilsoņi, kuri iesnieguma iesniegšanas dienā sasnieguši 16 gadu vecumu un </w:t>
      </w:r>
      <w:bookmarkStart w:id="0" w:name="_Hlk228952365"/>
      <w:r w:rsidRPr="005822F1">
        <w:t>kuru dzīvesvieta deklarēta pašvaldības administratīvajā teritorijā</w:t>
      </w:r>
      <w:bookmarkEnd w:id="0"/>
      <w:r w:rsidRPr="005822F1">
        <w:t xml:space="preserve">, vai kuriem pieder nekustamais īpašums šajā teritorijā. Ja novada administratīvajā teritorijā reģistrēto iedzīvotāju skaits pēc aktuālajiem  </w:t>
      </w:r>
      <w:r w:rsidRPr="005822F1">
        <w:lastRenderedPageBreak/>
        <w:t xml:space="preserve">Fizisko personu reģistra datiem attiecīgā gada 1. janvārī ir no 15 000 līdz 30 000 iedzīvotāju, tad kolektīvā iesnieguma iesniedzēju skaits ir vismaz 200 iesniedzēji. Parakstus kolektīvajam iesniegumam var vākt arī elektroniski, ja tiek nodrošināta parakstītāju identifikācija un fizisko personu datu aizsardzība. </w:t>
      </w:r>
    </w:p>
    <w:p w14:paraId="2083BA01" w14:textId="77777777" w:rsidR="005822F1" w:rsidRPr="005822F1" w:rsidRDefault="005822F1" w:rsidP="005822F1">
      <w:pPr>
        <w:ind w:firstLine="720"/>
      </w:pPr>
      <w:r w:rsidRPr="005822F1">
        <w:t xml:space="preserve">Izvērtējot Iesnieguma atbilstību iepriekš minētajām prasībām, secināms, ka tas atbilst: </w:t>
      </w:r>
    </w:p>
    <w:p w14:paraId="788375CD" w14:textId="77777777" w:rsidR="005822F1" w:rsidRPr="005822F1" w:rsidRDefault="005822F1" w:rsidP="005822F1">
      <w:pPr>
        <w:numPr>
          <w:ilvl w:val="0"/>
          <w:numId w:val="5"/>
        </w:numPr>
        <w:contextualSpacing/>
      </w:pPr>
      <w:r w:rsidRPr="005822F1">
        <w:t xml:space="preserve">Pašvaldību likuma 56. panta pirmajai un otrajai daļai, jo Iesniegumu parakstījis 932 iedzīvotāji, no kuriem pēc Fizisko personu reģistra datiem 195 personas atbilst parakstītāja statusam saskaņā ar Pilsonības un migrācijas lietu pārvaldes 2026. gada 29.aprīļa dokumentā “Par informācijas sniegšanu” Nr. 24/14-25/960/N (reģistrēts pašvaldībā DVS Namejs 29.04.2026. ar </w:t>
      </w:r>
      <w:proofErr w:type="spellStart"/>
      <w:r w:rsidRPr="005822F1">
        <w:t>reģ</w:t>
      </w:r>
      <w:proofErr w:type="spellEnd"/>
      <w:r w:rsidRPr="005822F1">
        <w:t>. Nr. 4.8.3/26/3209) sniegto informāciju. Un Pašvaldību likumā noteiktajā kārtībā pārbaudot Iesnieguma parakstītājiem reģistrētos nekustamos īpašumus Limbažu novada pašvaldības administratīvajā teritorijā, no  apstrādātajiem personas kodiem 164 personas atbilst parakstītāja statusam, t.sk., 44 personas, kuru dzīvesvieta nav deklarēta Limbažu novada pašvaldības administratīvajā teritorijā.</w:t>
      </w:r>
    </w:p>
    <w:p w14:paraId="664B3793" w14:textId="77777777" w:rsidR="005822F1" w:rsidRPr="005822F1" w:rsidRDefault="005822F1" w:rsidP="005822F1">
      <w:pPr>
        <w:numPr>
          <w:ilvl w:val="0"/>
          <w:numId w:val="5"/>
        </w:numPr>
        <w:contextualSpacing/>
      </w:pPr>
      <w:r w:rsidRPr="005822F1">
        <w:t xml:space="preserve">Pašvaldību likuma 56. panta trešajai daļai, jo Iesniegumā norādīts, ka tas ir kolektīvais iesniegums, ir norādīta fiziskā persona, kas pilnvarota pārstāvēt Iesnieguma iesniedzējus un tās kontaktinformācija, ir norādīti Iesnieguma parakstītāju vārdi, uzvārdi un personas kodi, nodrošināta parakstītāju identifikācija; </w:t>
      </w:r>
    </w:p>
    <w:p w14:paraId="6E9FF737" w14:textId="77777777" w:rsidR="005822F1" w:rsidRPr="005822F1" w:rsidRDefault="005822F1" w:rsidP="005822F1">
      <w:pPr>
        <w:numPr>
          <w:ilvl w:val="0"/>
          <w:numId w:val="5"/>
        </w:numPr>
        <w:contextualSpacing/>
      </w:pPr>
      <w:r w:rsidRPr="005822F1">
        <w:t>Pašvaldību likuma 56.panta ceturtajai daļai, jo Iesniegums neietver tādu prasījumu, kas ir acīmredzami nepieņemams demokrātiskā sabiedrībā vai ir klaji aizskarošs, nepārkāpj vērtības, kas respektē cilvēka cieņu, brīvību, demokrātiju, vienlīdzību, tiesiskumu un cilvēktiesības, tostarp minoritāšu tiesības.</w:t>
      </w:r>
    </w:p>
    <w:p w14:paraId="09DBD9A4" w14:textId="77777777" w:rsidR="005822F1" w:rsidRPr="005822F1" w:rsidRDefault="005822F1" w:rsidP="005822F1">
      <w:pPr>
        <w:ind w:firstLine="720"/>
      </w:pPr>
      <w:r w:rsidRPr="005822F1">
        <w:t>Saskaņā ar Pašvaldību likuma 57. panta trešo daļu, atbilstoši kolektīvā iesnieguma saturam dome lemj par šā iesnieguma turpmāko virzību, nosakot par to atbildīgo pašvaldības institūciju.</w:t>
      </w:r>
    </w:p>
    <w:p w14:paraId="52392857" w14:textId="77777777" w:rsidR="005822F1" w:rsidRPr="005822F1" w:rsidRDefault="005822F1" w:rsidP="005822F1">
      <w:pPr>
        <w:ind w:firstLine="720"/>
      </w:pPr>
      <w:r w:rsidRPr="005822F1">
        <w:t>Saskaņā ar likuma “Par ietekmes uz vidi novērtējumu” 21. panta pirmo daļu paredzētās darbības akcepts ir šajā likumā un citos normatīvajos aktos noteiktajā kārtībā pieņemts attiecīgās valsts institūcijas, pašvaldības, citas likumā noteiktās institūcijas vai Ministru kabineta lēmums par atļauju uzsākt paredzēto darbību. Savukārt atbilstoši likuma “Par ietekmes uz vidi novērtējumu” 22. panta pirmās un otrās daļas nosacījumiem, lai saņemtu atļauju uzsākt paredzēto darbību, ierosinātājs iesniedz attiecīgajai valsts institūcijai, pašvaldībai vai citai likumā noteiktajai institūcijai iesniegumu, ziņojumu un kompetentās institūcijas atzinumu par ziņojumu kopā ar citos normatīvajos aktos noteiktajiem dokumentiem, un attiecīgā valsts institūcija, pašvaldība vai cita likumā noteiktā institūcija, vispusīgi izvērtējusi ziņojumu, pašvaldības un sabiedrības viedokli un ievērojot kompetentās institūcijas atzinumu par ziņojumu, normatīvajos aktos noteiktajā kārtībā pieņem lēmumu par paredzētās darbības akceptēšanu vai neakceptēšanu.</w:t>
      </w:r>
    </w:p>
    <w:p w14:paraId="75CD818C" w14:textId="77777777" w:rsidR="005822F1" w:rsidRPr="005822F1" w:rsidRDefault="005822F1" w:rsidP="005822F1">
      <w:pPr>
        <w:ind w:firstLine="720"/>
      </w:pPr>
      <w:r w:rsidRPr="005822F1">
        <w:t xml:space="preserve">Limbažu novada pašvaldība 2026. gada 5. februārī saņēma sabiedrības ar ierobežotu atbildību “Latvijas vēja parki”, reģistrācijas numurs 40203415150, iesniegumu Nr. 61VL00-15/10 (reģistrēts pašvaldībā DVS Namejs ar </w:t>
      </w:r>
      <w:proofErr w:type="spellStart"/>
      <w:r w:rsidRPr="005822F1">
        <w:t>reģ</w:t>
      </w:r>
      <w:proofErr w:type="spellEnd"/>
      <w:r w:rsidRPr="005822F1">
        <w:t xml:space="preserve">. Nr. 4.8.3/26/863) ar lūgumu Limbažu novada pašvaldību akceptēt paredzēto darbību - VES parka “Limbaži” un tā saistītās infrastruktūras projekta īstenošanu Limbažu novada Salacgrīvas pagastā (zemes vienības ar kadastra apzīmējumiem Nr.66720080069 un Nr.66720040295), balstoties uz likuma “Par ietekmes uz vidi novērtējumu” 22. panta pirmo un otro daļu, kā arī Ministru Kabineta 2015. gada 13. janvāra noteikumu Nr. 18 “Kārtība, kādā novērtē paredzētās darbības ietekmi uz vidi un akceptē paredzēto darbību” 67. un 68. punktu. Sabiedrības ar ierobežotu atbildību “Latvijas vēja parki” iesniegumam Nr. 61VL00-15/10 pievienota papildus informācija 2026. gada 5. martā (reģistrēts pašvaldībā DVS Namejs ar </w:t>
      </w:r>
      <w:proofErr w:type="spellStart"/>
      <w:r w:rsidRPr="005822F1">
        <w:t>reģ</w:t>
      </w:r>
      <w:proofErr w:type="spellEnd"/>
      <w:r w:rsidRPr="005822F1">
        <w:t>. Nr. 4.8.3/26/1714).</w:t>
      </w:r>
    </w:p>
    <w:p w14:paraId="67EFBFEF" w14:textId="77777777" w:rsidR="005822F1" w:rsidRPr="005822F1" w:rsidRDefault="005822F1" w:rsidP="005822F1">
      <w:pPr>
        <w:ind w:firstLine="720"/>
      </w:pPr>
      <w:r w:rsidRPr="005822F1">
        <w:t xml:space="preserve">Izvērtējot minēto sabiedrības ar ierobežotu atbildību “Latvijas vēja parki” iesniegumu un ar to saistītos dokumentus, tai skaitā, Ietekmes uz vidi novērtējuma vēja elektrostaciju parkam “Limbaži” ziņojumu un Valsts vides dienesta 2025. gada 24. oktobra Atzinumu 11.19/AP/9515/2025 par vēja elektrostaciju parka “Limbaži” un tā saistītās infrastruktūras projekta īstenošanas Limbažu </w:t>
      </w:r>
      <w:r w:rsidRPr="005822F1">
        <w:lastRenderedPageBreak/>
        <w:t>novada Salacgrīvas un Viļķenes pagastos</w:t>
      </w:r>
      <w:r w:rsidRPr="005822F1">
        <w:rPr>
          <w:vertAlign w:val="superscript"/>
        </w:rPr>
        <w:footnoteReference w:id="1"/>
      </w:r>
      <w:r w:rsidRPr="005822F1">
        <w:t xml:space="preserve"> ietekmes uz vidi novērtējuma ziņojumu, kā arī, pamatojoties uz Pašvaldību likuma 10. panta pirmās daļas 21. punktu, likuma “Par ietekmes uz vidi novērtējumu” 6.¹ panta sesto daļu, 21. panta pirmo daļu, 22. panta otro daļu, 23. pantu, 26. panta ceturto daļu, Limbažu novada dome 2026. gada 30. aprīlī pieņēma lēmumu Nr. 309 “Par paredzētās darbības - vēja elektrostaciju parka “Limbaži” un ar to saistītās infrastruktūras būvniecība Salacgrīvas pagastā, Limbažu novadā – akceptēšanu” (protokols Nr.10, 51.), ar kura lemjošās daļas 1. punktu nolemts - neatļaut sabiedrības ar ierobežotu atbildību “Latvijas vēja parki”, reģistrācijas Nr. 40203415150, paredzētās darbības - vēja elektrostaciju parka “Limbaži” un ar to saistītās infrastruktūras būvniecības Limbažu novada Salacgrīvas pagastā - īstenošanu, jo ietekmes uz vidi novērtējuma process un tā ietvaros sagatavotais ietekmes uz vidi novērtējuma ziņojums neatbilst normatīvajos aktos noteiktajām prasībām, tādējādi nav izpildīti priekšnoteikumi paredzētās darbības akceptam. </w:t>
      </w:r>
    </w:p>
    <w:p w14:paraId="73A31933" w14:textId="77777777" w:rsidR="005822F1" w:rsidRPr="005822F1" w:rsidRDefault="005822F1" w:rsidP="005822F1">
      <w:pPr>
        <w:ind w:firstLine="720"/>
      </w:pPr>
      <w:r w:rsidRPr="005822F1">
        <w:t>Ņemot vērā iepriekš minēto, secināms, ka Iesniegumā minētais lūgums atbilst pašvaldības domes līdz šim, tās kompetences ietvaros, pieņemtajiem lēmumiem.</w:t>
      </w:r>
    </w:p>
    <w:p w14:paraId="530AB083" w14:textId="77777777" w:rsidR="005822F1" w:rsidRPr="005822F1" w:rsidRDefault="005822F1" w:rsidP="005822F1">
      <w:pPr>
        <w:suppressAutoHyphens/>
        <w:ind w:firstLine="720"/>
        <w:rPr>
          <w:b/>
          <w:bCs/>
        </w:rPr>
      </w:pPr>
      <w:r w:rsidRPr="005822F1">
        <w:t xml:space="preserve">Pamatojoties uz Pašvaldību likuma 57. panta pirmo, trešo, ceturto un piekto daļu, Limbažu novada pašvaldības domes 28.09.2023. saistošo noteikumu Nr. 17 “Limbažu novada pašvaldības nolikums” 56., 57. punktu, </w:t>
      </w:r>
      <w:r w:rsidRPr="005822F1">
        <w:rPr>
          <w:rFonts w:cs="Tahoma"/>
          <w:b/>
          <w:kern w:val="1"/>
          <w:lang w:eastAsia="hi-IN" w:bidi="hi-IN"/>
        </w:rPr>
        <w:t>a</w:t>
      </w:r>
      <w:r w:rsidRPr="005822F1">
        <w:rPr>
          <w:b/>
          <w:bCs/>
        </w:rPr>
        <w:t>tklāti balsojot: PAR</w:t>
      </w:r>
      <w:r w:rsidRPr="005822F1">
        <w:t xml:space="preserve"> – 14 deputāti (</w:t>
      </w:r>
      <w:r w:rsidRPr="005822F1">
        <w:rPr>
          <w:rFonts w:eastAsia="Calibri"/>
          <w:szCs w:val="22"/>
          <w:lang w:eastAsia="en-US"/>
        </w:rPr>
        <w:t xml:space="preserve">Edžus Arums, Andris Garklāvs, Aigars </w:t>
      </w:r>
      <w:proofErr w:type="spellStart"/>
      <w:r w:rsidRPr="005822F1">
        <w:rPr>
          <w:rFonts w:eastAsia="Calibri"/>
          <w:szCs w:val="22"/>
          <w:lang w:eastAsia="en-US"/>
        </w:rPr>
        <w:t>Legzdiņš</w:t>
      </w:r>
      <w:proofErr w:type="spellEnd"/>
      <w:r w:rsidRPr="005822F1">
        <w:rPr>
          <w:rFonts w:eastAsia="Calibri"/>
          <w:szCs w:val="22"/>
          <w:lang w:eastAsia="en-US"/>
        </w:rPr>
        <w:t xml:space="preserve">, Dāvis Melnalksnis, Rūdolfs Pelēkais, Jānis Remess, Ziedonis </w:t>
      </w:r>
      <w:proofErr w:type="spellStart"/>
      <w:r w:rsidRPr="005822F1">
        <w:rPr>
          <w:rFonts w:eastAsia="Calibri"/>
          <w:szCs w:val="22"/>
          <w:lang w:eastAsia="en-US"/>
        </w:rPr>
        <w:t>Rubezis</w:t>
      </w:r>
      <w:proofErr w:type="spellEnd"/>
      <w:r w:rsidRPr="005822F1">
        <w:rPr>
          <w:rFonts w:eastAsia="Calibri"/>
          <w:szCs w:val="22"/>
          <w:lang w:eastAsia="en-US"/>
        </w:rPr>
        <w:t xml:space="preserve">, Baiba </w:t>
      </w:r>
      <w:proofErr w:type="spellStart"/>
      <w:r w:rsidRPr="005822F1">
        <w:rPr>
          <w:rFonts w:eastAsia="Calibri"/>
          <w:szCs w:val="22"/>
          <w:lang w:eastAsia="en-US"/>
        </w:rPr>
        <w:t>Siktāre</w:t>
      </w:r>
      <w:proofErr w:type="spellEnd"/>
      <w:r w:rsidRPr="005822F1">
        <w:rPr>
          <w:rFonts w:eastAsia="Calibri"/>
          <w:szCs w:val="22"/>
          <w:lang w:eastAsia="en-US"/>
        </w:rPr>
        <w:t xml:space="preserve">, Sigita </w:t>
      </w:r>
      <w:proofErr w:type="spellStart"/>
      <w:r w:rsidRPr="005822F1">
        <w:rPr>
          <w:rFonts w:eastAsia="Calibri"/>
          <w:szCs w:val="22"/>
          <w:lang w:eastAsia="en-US"/>
        </w:rPr>
        <w:t>Upmale</w:t>
      </w:r>
      <w:proofErr w:type="spellEnd"/>
      <w:r w:rsidRPr="005822F1">
        <w:rPr>
          <w:rFonts w:eastAsia="Calibri"/>
          <w:szCs w:val="22"/>
          <w:lang w:eastAsia="en-US"/>
        </w:rPr>
        <w:t xml:space="preserve">, Ģirts Vilciņš, Roberts </w:t>
      </w:r>
      <w:proofErr w:type="spellStart"/>
      <w:r w:rsidRPr="005822F1">
        <w:rPr>
          <w:rFonts w:eastAsia="Calibri"/>
          <w:szCs w:val="22"/>
          <w:lang w:eastAsia="en-US"/>
        </w:rPr>
        <w:t>Viziņš</w:t>
      </w:r>
      <w:proofErr w:type="spellEnd"/>
      <w:r w:rsidRPr="005822F1">
        <w:rPr>
          <w:rFonts w:eastAsia="Calibri"/>
          <w:szCs w:val="22"/>
          <w:lang w:eastAsia="en-US"/>
        </w:rPr>
        <w:t xml:space="preserve">, Andis Zaļaiskalns, Diāna Zaļupe, Edmunds </w:t>
      </w:r>
      <w:proofErr w:type="spellStart"/>
      <w:r w:rsidRPr="005822F1">
        <w:rPr>
          <w:rFonts w:eastAsia="Calibri"/>
          <w:szCs w:val="22"/>
          <w:lang w:eastAsia="en-US"/>
        </w:rPr>
        <w:t>Zeidmanis</w:t>
      </w:r>
      <w:proofErr w:type="spellEnd"/>
      <w:r w:rsidRPr="005822F1">
        <w:rPr>
          <w:rFonts w:eastAsia="Calibri"/>
          <w:szCs w:val="22"/>
          <w:lang w:eastAsia="en-US"/>
        </w:rPr>
        <w:t>)</w:t>
      </w:r>
      <w:r w:rsidRPr="005822F1">
        <w:rPr>
          <w:bCs/>
        </w:rPr>
        <w:t>,</w:t>
      </w:r>
      <w:r w:rsidRPr="005822F1">
        <w:rPr>
          <w:rFonts w:eastAsia="Calibri"/>
          <w:szCs w:val="22"/>
          <w:lang w:eastAsia="en-US"/>
        </w:rPr>
        <w:t xml:space="preserve"> </w:t>
      </w:r>
      <w:r w:rsidRPr="005822F1">
        <w:rPr>
          <w:b/>
          <w:bCs/>
        </w:rPr>
        <w:t xml:space="preserve">PRET – </w:t>
      </w:r>
      <w:r w:rsidRPr="005822F1">
        <w:rPr>
          <w:bCs/>
        </w:rPr>
        <w:t>nav,</w:t>
      </w:r>
      <w:r w:rsidRPr="005822F1">
        <w:rPr>
          <w:rFonts w:eastAsia="Calibri"/>
          <w:szCs w:val="22"/>
          <w:lang w:eastAsia="en-US"/>
        </w:rPr>
        <w:t xml:space="preserve"> </w:t>
      </w:r>
      <w:r w:rsidRPr="005822F1">
        <w:rPr>
          <w:b/>
          <w:bCs/>
        </w:rPr>
        <w:t>ATTURAS –</w:t>
      </w:r>
      <w:r w:rsidRPr="005822F1">
        <w:t xml:space="preserve"> nav, Limbažu novada pašvaldības dome</w:t>
      </w:r>
      <w:r w:rsidRPr="005822F1">
        <w:rPr>
          <w:b/>
          <w:bCs/>
        </w:rPr>
        <w:t xml:space="preserve"> NOLEMJ:</w:t>
      </w:r>
    </w:p>
    <w:p w14:paraId="5C227C83" w14:textId="77777777" w:rsidR="005822F1" w:rsidRPr="005822F1" w:rsidRDefault="005822F1" w:rsidP="005822F1">
      <w:pPr>
        <w:ind w:firstLine="720"/>
      </w:pPr>
    </w:p>
    <w:p w14:paraId="320F8F26" w14:textId="77777777" w:rsidR="005822F1" w:rsidRPr="005822F1" w:rsidRDefault="005822F1" w:rsidP="005822F1">
      <w:pPr>
        <w:numPr>
          <w:ilvl w:val="0"/>
          <w:numId w:val="6"/>
        </w:numPr>
        <w:ind w:left="357" w:hanging="357"/>
        <w:contextualSpacing/>
      </w:pPr>
      <w:r w:rsidRPr="005822F1">
        <w:t xml:space="preserve">Atzīt kolektīvo iesniegumu “Par bioloģiskās daudzveidības saglabāšanu Ziemeļvidzemes biosfēras rezervātā” par izpildītu, ņemot vērā pašvaldības veiktās darbības, pieņemot Limbažu novada domes 2026. gada 30. aprīļa lēmumu Nr. 309 “Par paredzētās darbības - vēja elektrostaciju parka “Limbaži” un ar to saistītās infrastruktūras būvniecība Salacgrīvas pagastā, Limbažu novadā – akceptēšanu” (protokols Nr.10, 51.), ar kuru nolemts neatļaut sabiedrības ar ierobežotu atbildību “Latvijas vēja parki”, reģistrācijas Nr. 40203415150, paredzētās darbības - vēja elektrostaciju parka “Limbaži” un ar to saistītās infrastruktūras būvniecības Limbažu novada Salacgrīvas pagastā – īstenošanu.  </w:t>
      </w:r>
    </w:p>
    <w:p w14:paraId="19F36B51" w14:textId="77777777" w:rsidR="005822F1" w:rsidRPr="005822F1" w:rsidRDefault="005822F1" w:rsidP="005822F1">
      <w:pPr>
        <w:numPr>
          <w:ilvl w:val="0"/>
          <w:numId w:val="6"/>
        </w:numPr>
        <w:ind w:left="357" w:hanging="357"/>
        <w:contextualSpacing/>
      </w:pPr>
      <w:r w:rsidRPr="005822F1">
        <w:t xml:space="preserve">Uzdot Centrālās pārvaldes Sabiedrisko attiecību nodaļai publicēt informāciju par kolektīvā iesnieguma izskatīšanas rezultātiem pašvaldības oficiālajā tīmekļvietnē </w:t>
      </w:r>
      <w:hyperlink r:id="rId8" w:history="1">
        <w:r w:rsidRPr="005822F1">
          <w:rPr>
            <w:color w:val="0563C1"/>
            <w:u w:val="single"/>
          </w:rPr>
          <w:t>www.limbazunovads.lv</w:t>
        </w:r>
      </w:hyperlink>
      <w:r w:rsidRPr="005822F1">
        <w:t>.</w:t>
      </w:r>
    </w:p>
    <w:p w14:paraId="2A68B2FB" w14:textId="77777777" w:rsidR="005822F1" w:rsidRPr="005822F1" w:rsidRDefault="005822F1" w:rsidP="005822F1">
      <w:pPr>
        <w:numPr>
          <w:ilvl w:val="0"/>
          <w:numId w:val="6"/>
        </w:numPr>
        <w:ind w:left="357" w:hanging="357"/>
        <w:contextualSpacing/>
      </w:pPr>
      <w:r w:rsidRPr="005822F1">
        <w:t>Kontroli par lēmuma izpildi uzdot Limbažu novada pašvaldības izpilddirektoram.</w:t>
      </w:r>
    </w:p>
    <w:p w14:paraId="498B88D0" w14:textId="77777777" w:rsidR="007B093B" w:rsidRDefault="007B093B" w:rsidP="005822F1">
      <w:pPr>
        <w:pStyle w:val="Sarakstarindkopa"/>
        <w:ind w:left="1080"/>
      </w:pPr>
    </w:p>
    <w:p w14:paraId="090C6251" w14:textId="77777777" w:rsidR="007B093B" w:rsidRDefault="007B093B" w:rsidP="007B093B">
      <w:pPr>
        <w:pStyle w:val="Sarakstarindkopa"/>
        <w:ind w:left="1080"/>
      </w:pPr>
    </w:p>
    <w:p w14:paraId="1B7F09DD" w14:textId="77777777" w:rsidR="005822F1" w:rsidRPr="005822F1" w:rsidRDefault="005822F1" w:rsidP="005822F1">
      <w:pPr>
        <w:jc w:val="left"/>
        <w:rPr>
          <w:rFonts w:eastAsia="Calibri"/>
          <w:lang w:eastAsia="en-US"/>
        </w:rPr>
      </w:pPr>
      <w:r w:rsidRPr="005822F1">
        <w:rPr>
          <w:rFonts w:eastAsia="Calibri"/>
          <w:lang w:eastAsia="en-US"/>
        </w:rPr>
        <w:t>Limbažu novada pašvaldības</w:t>
      </w:r>
    </w:p>
    <w:p w14:paraId="73AA23DF" w14:textId="77777777" w:rsidR="005822F1" w:rsidRPr="005822F1" w:rsidRDefault="005822F1" w:rsidP="005822F1">
      <w:pPr>
        <w:jc w:val="left"/>
        <w:rPr>
          <w:rFonts w:eastAsia="Calibri"/>
          <w:lang w:eastAsia="en-US"/>
        </w:rPr>
      </w:pPr>
      <w:r w:rsidRPr="005822F1">
        <w:rPr>
          <w:rFonts w:eastAsia="Calibri"/>
          <w:lang w:eastAsia="en-US"/>
        </w:rPr>
        <w:t>Domes priekšsēdētāja</w:t>
      </w:r>
      <w:r w:rsidRPr="005822F1">
        <w:rPr>
          <w:rFonts w:eastAsia="Calibri"/>
          <w:lang w:eastAsia="en-US"/>
        </w:rPr>
        <w:tab/>
      </w:r>
      <w:r w:rsidRPr="005822F1">
        <w:rPr>
          <w:rFonts w:eastAsia="Calibri"/>
          <w:lang w:eastAsia="en-US"/>
        </w:rPr>
        <w:tab/>
      </w:r>
      <w:r w:rsidRPr="005822F1">
        <w:rPr>
          <w:rFonts w:eastAsia="Calibri"/>
          <w:lang w:eastAsia="en-US"/>
        </w:rPr>
        <w:tab/>
      </w:r>
      <w:r w:rsidRPr="005822F1">
        <w:rPr>
          <w:rFonts w:eastAsia="Calibri"/>
          <w:lang w:eastAsia="en-US"/>
        </w:rPr>
        <w:tab/>
      </w:r>
      <w:r w:rsidRPr="005822F1">
        <w:rPr>
          <w:rFonts w:eastAsia="Calibri"/>
          <w:lang w:eastAsia="en-US"/>
        </w:rPr>
        <w:tab/>
      </w:r>
      <w:r w:rsidRPr="005822F1">
        <w:rPr>
          <w:rFonts w:eastAsia="Calibri"/>
          <w:lang w:eastAsia="en-US"/>
        </w:rPr>
        <w:tab/>
      </w:r>
      <w:r w:rsidRPr="005822F1">
        <w:rPr>
          <w:rFonts w:eastAsia="Calibri"/>
          <w:lang w:eastAsia="en-US"/>
        </w:rPr>
        <w:tab/>
      </w:r>
      <w:r w:rsidRPr="005822F1">
        <w:rPr>
          <w:rFonts w:eastAsia="Calibri"/>
          <w:lang w:eastAsia="en-US"/>
        </w:rPr>
        <w:tab/>
      </w:r>
      <w:r w:rsidRPr="005822F1">
        <w:rPr>
          <w:rFonts w:eastAsia="Calibri"/>
          <w:lang w:eastAsia="en-US"/>
        </w:rPr>
        <w:tab/>
        <w:t xml:space="preserve">S. </w:t>
      </w:r>
      <w:proofErr w:type="spellStart"/>
      <w:r w:rsidRPr="005822F1">
        <w:rPr>
          <w:rFonts w:eastAsia="Calibri"/>
          <w:lang w:eastAsia="en-US"/>
        </w:rPr>
        <w:t>Upmale</w:t>
      </w:r>
      <w:proofErr w:type="spellEnd"/>
    </w:p>
    <w:p w14:paraId="612F11E1" w14:textId="77777777" w:rsidR="005822F1" w:rsidRPr="005822F1" w:rsidRDefault="005822F1" w:rsidP="005822F1">
      <w:pPr>
        <w:rPr>
          <w:rFonts w:eastAsia="Calibri"/>
          <w:lang w:eastAsia="en-US"/>
        </w:rPr>
      </w:pPr>
    </w:p>
    <w:p w14:paraId="65CDC5EB" w14:textId="77777777" w:rsidR="005822F1" w:rsidRPr="005822F1" w:rsidRDefault="005822F1" w:rsidP="005822F1">
      <w:pPr>
        <w:rPr>
          <w:rFonts w:eastAsia="Calibri"/>
          <w:b/>
          <w:lang w:eastAsia="en-US"/>
        </w:rPr>
      </w:pPr>
    </w:p>
    <w:p w14:paraId="222EB8C4" w14:textId="77777777" w:rsidR="005822F1" w:rsidRPr="005822F1" w:rsidRDefault="005822F1" w:rsidP="005822F1">
      <w:pPr>
        <w:rPr>
          <w:rFonts w:eastAsia="Calibri"/>
          <w:b/>
          <w:lang w:eastAsia="en-US"/>
        </w:rPr>
      </w:pPr>
    </w:p>
    <w:p w14:paraId="7572FC5C" w14:textId="77777777" w:rsidR="005822F1" w:rsidRPr="005822F1" w:rsidRDefault="005822F1" w:rsidP="005822F1">
      <w:pPr>
        <w:rPr>
          <w:rFonts w:eastAsia="Calibri"/>
          <w:sz w:val="20"/>
          <w:szCs w:val="20"/>
          <w:lang w:eastAsia="en-US"/>
        </w:rPr>
      </w:pPr>
      <w:r w:rsidRPr="005822F1">
        <w:rPr>
          <w:rFonts w:eastAsia="Calibri"/>
          <w:sz w:val="20"/>
          <w:szCs w:val="20"/>
          <w:lang w:eastAsia="en-US"/>
        </w:rPr>
        <w:t>ŠIS DOKUMENTS IR PARAKSTĪTS AR DROŠU ELEKTRONISKO PARAKSTU UN SATUR LAIKA ZĪMOGU</w:t>
      </w:r>
    </w:p>
    <w:p w14:paraId="56A88EE7" w14:textId="77777777" w:rsidR="005822F1" w:rsidRDefault="005822F1" w:rsidP="007B093B">
      <w:pPr>
        <w:pStyle w:val="Sarakstarindkopa"/>
        <w:ind w:left="1080"/>
      </w:pPr>
      <w:bookmarkStart w:id="1" w:name="_GoBack"/>
      <w:bookmarkEnd w:id="1"/>
    </w:p>
    <w:sectPr w:rsidR="005822F1" w:rsidSect="00FC7D47">
      <w:headerReference w:type="default" r:id="rId9"/>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C3A0A" w14:textId="77777777" w:rsidR="007B093B" w:rsidRDefault="007B093B" w:rsidP="007B093B">
      <w:r>
        <w:separator/>
      </w:r>
    </w:p>
  </w:endnote>
  <w:endnote w:type="continuationSeparator" w:id="0">
    <w:p w14:paraId="52739014" w14:textId="77777777" w:rsidR="007B093B" w:rsidRDefault="007B093B" w:rsidP="007B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545CC" w14:textId="77777777" w:rsidR="007B093B" w:rsidRDefault="007B093B" w:rsidP="007B093B">
      <w:r>
        <w:separator/>
      </w:r>
    </w:p>
  </w:footnote>
  <w:footnote w:type="continuationSeparator" w:id="0">
    <w:p w14:paraId="6BEAF98B" w14:textId="77777777" w:rsidR="007B093B" w:rsidRDefault="007B093B" w:rsidP="007B093B">
      <w:r>
        <w:continuationSeparator/>
      </w:r>
    </w:p>
  </w:footnote>
  <w:footnote w:id="1">
    <w:p w14:paraId="0DA715A3" w14:textId="77777777" w:rsidR="005822F1" w:rsidRPr="004F4303" w:rsidRDefault="005822F1" w:rsidP="005822F1">
      <w:pPr>
        <w:pStyle w:val="Vresteksts"/>
        <w:jc w:val="both"/>
        <w:rPr>
          <w:rFonts w:ascii="Times New Roman" w:hAnsi="Times New Roman" w:cs="Times New Roman"/>
        </w:rPr>
      </w:pPr>
      <w:r w:rsidRPr="004F4303">
        <w:rPr>
          <w:rStyle w:val="Vresatsauce"/>
          <w:rFonts w:ascii="Times New Roman" w:hAnsi="Times New Roman" w:cs="Times New Roman"/>
        </w:rPr>
        <w:footnoteRef/>
      </w:r>
      <w:r w:rsidRPr="004F4303">
        <w:rPr>
          <w:rFonts w:ascii="Times New Roman" w:hAnsi="Times New Roman" w:cs="Times New Roman"/>
        </w:rPr>
        <w:t xml:space="preserve"> Ziņojuma izstrādes laikā Paredzēto darbību nolemts īstenot teritorijā, kas ietilpst tikai Salacgrīvas pagastā, atsakoties no Viļķenes pagastā sākotnēji plānoto vēja elektrostaciju izbūves.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9774903"/>
      <w:docPartObj>
        <w:docPartGallery w:val="Page Numbers (Top of Page)"/>
        <w:docPartUnique/>
      </w:docPartObj>
    </w:sdtPr>
    <w:sdtEndPr/>
    <w:sdtContent>
      <w:p w14:paraId="285C6C2C" w14:textId="4EE5C7A9" w:rsidR="00A13AE5" w:rsidRDefault="00A13AE5">
        <w:pPr>
          <w:pStyle w:val="Galvene"/>
          <w:jc w:val="center"/>
        </w:pPr>
        <w:r>
          <w:fldChar w:fldCharType="begin"/>
        </w:r>
        <w:r>
          <w:instrText>PAGE   \* MERGEFORMAT</w:instrText>
        </w:r>
        <w:r>
          <w:fldChar w:fldCharType="separate"/>
        </w:r>
        <w:r w:rsidR="005822F1">
          <w:rPr>
            <w:noProof/>
          </w:rPr>
          <w:t>2</w:t>
        </w:r>
        <w:r>
          <w:fldChar w:fldCharType="end"/>
        </w:r>
      </w:p>
    </w:sdtContent>
  </w:sdt>
  <w:p w14:paraId="6B26C45A" w14:textId="77777777" w:rsidR="00A13AE5" w:rsidRDefault="00A13AE5">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F26BDF"/>
    <w:multiLevelType w:val="hybridMultilevel"/>
    <w:tmpl w:val="0026092E"/>
    <w:lvl w:ilvl="0" w:tplc="9454CD66">
      <w:start w:val="1"/>
      <w:numFmt w:val="decimal"/>
      <w:lvlText w:val="%1."/>
      <w:lvlJc w:val="left"/>
      <w:pPr>
        <w:ind w:left="1080" w:hanging="360"/>
      </w:pPr>
      <w:rPr>
        <w:rFonts w:ascii="Times New Roman" w:eastAsiaTheme="minorHAnsi"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8CA0B9A"/>
    <w:multiLevelType w:val="hybridMultilevel"/>
    <w:tmpl w:val="A31E68D0"/>
    <w:lvl w:ilvl="0" w:tplc="DB888AAA">
      <w:start w:val="1"/>
      <w:numFmt w:val="decimal"/>
      <w:lvlText w:val="%1."/>
      <w:lvlJc w:val="left"/>
      <w:pPr>
        <w:ind w:left="720" w:hanging="360"/>
      </w:pPr>
    </w:lvl>
    <w:lvl w:ilvl="1" w:tplc="FCA85D42" w:tentative="1">
      <w:start w:val="1"/>
      <w:numFmt w:val="lowerLetter"/>
      <w:lvlText w:val="%2."/>
      <w:lvlJc w:val="left"/>
      <w:pPr>
        <w:ind w:left="1440" w:hanging="360"/>
      </w:pPr>
    </w:lvl>
    <w:lvl w:ilvl="2" w:tplc="007A8D7E" w:tentative="1">
      <w:start w:val="1"/>
      <w:numFmt w:val="lowerRoman"/>
      <w:lvlText w:val="%3."/>
      <w:lvlJc w:val="right"/>
      <w:pPr>
        <w:ind w:left="2160" w:hanging="180"/>
      </w:pPr>
    </w:lvl>
    <w:lvl w:ilvl="3" w:tplc="B8B22A90" w:tentative="1">
      <w:start w:val="1"/>
      <w:numFmt w:val="decimal"/>
      <w:lvlText w:val="%4."/>
      <w:lvlJc w:val="left"/>
      <w:pPr>
        <w:ind w:left="2880" w:hanging="360"/>
      </w:pPr>
    </w:lvl>
    <w:lvl w:ilvl="4" w:tplc="64D002DC" w:tentative="1">
      <w:start w:val="1"/>
      <w:numFmt w:val="lowerLetter"/>
      <w:lvlText w:val="%5."/>
      <w:lvlJc w:val="left"/>
      <w:pPr>
        <w:ind w:left="3600" w:hanging="360"/>
      </w:pPr>
    </w:lvl>
    <w:lvl w:ilvl="5" w:tplc="20BC47A0" w:tentative="1">
      <w:start w:val="1"/>
      <w:numFmt w:val="lowerRoman"/>
      <w:lvlText w:val="%6."/>
      <w:lvlJc w:val="right"/>
      <w:pPr>
        <w:ind w:left="4320" w:hanging="180"/>
      </w:pPr>
    </w:lvl>
    <w:lvl w:ilvl="6" w:tplc="12AA8394" w:tentative="1">
      <w:start w:val="1"/>
      <w:numFmt w:val="decimal"/>
      <w:lvlText w:val="%7."/>
      <w:lvlJc w:val="left"/>
      <w:pPr>
        <w:ind w:left="5040" w:hanging="360"/>
      </w:pPr>
    </w:lvl>
    <w:lvl w:ilvl="7" w:tplc="5D24920A" w:tentative="1">
      <w:start w:val="1"/>
      <w:numFmt w:val="lowerLetter"/>
      <w:lvlText w:val="%8."/>
      <w:lvlJc w:val="left"/>
      <w:pPr>
        <w:ind w:left="5760" w:hanging="360"/>
      </w:pPr>
    </w:lvl>
    <w:lvl w:ilvl="8" w:tplc="00D8DBF6" w:tentative="1">
      <w:start w:val="1"/>
      <w:numFmt w:val="lowerRoman"/>
      <w:lvlText w:val="%9."/>
      <w:lvlJc w:val="right"/>
      <w:pPr>
        <w:ind w:left="6480" w:hanging="180"/>
      </w:pPr>
    </w:lvl>
  </w:abstractNum>
  <w:abstractNum w:abstractNumId="3" w15:restartNumberingAfterBreak="0">
    <w:nsid w:val="2B0D3EC9"/>
    <w:multiLevelType w:val="hybridMultilevel"/>
    <w:tmpl w:val="14A45ADA"/>
    <w:lvl w:ilvl="0" w:tplc="59380C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66D24575"/>
    <w:multiLevelType w:val="hybridMultilevel"/>
    <w:tmpl w:val="A8A68854"/>
    <w:lvl w:ilvl="0" w:tplc="79540612">
      <w:start w:val="1"/>
      <w:numFmt w:val="decimal"/>
      <w:lvlText w:val="%1."/>
      <w:lvlJc w:val="left"/>
      <w:pPr>
        <w:ind w:left="720" w:hanging="360"/>
      </w:pPr>
    </w:lvl>
    <w:lvl w:ilvl="1" w:tplc="3E3C00F4" w:tentative="1">
      <w:start w:val="1"/>
      <w:numFmt w:val="lowerLetter"/>
      <w:lvlText w:val="%2."/>
      <w:lvlJc w:val="left"/>
      <w:pPr>
        <w:ind w:left="1440" w:hanging="360"/>
      </w:pPr>
    </w:lvl>
    <w:lvl w:ilvl="2" w:tplc="D3CA9DBE" w:tentative="1">
      <w:start w:val="1"/>
      <w:numFmt w:val="lowerRoman"/>
      <w:lvlText w:val="%3."/>
      <w:lvlJc w:val="right"/>
      <w:pPr>
        <w:ind w:left="2160" w:hanging="180"/>
      </w:pPr>
    </w:lvl>
    <w:lvl w:ilvl="3" w:tplc="1C147E98" w:tentative="1">
      <w:start w:val="1"/>
      <w:numFmt w:val="decimal"/>
      <w:lvlText w:val="%4."/>
      <w:lvlJc w:val="left"/>
      <w:pPr>
        <w:ind w:left="2880" w:hanging="360"/>
      </w:pPr>
    </w:lvl>
    <w:lvl w:ilvl="4" w:tplc="15804DC4" w:tentative="1">
      <w:start w:val="1"/>
      <w:numFmt w:val="lowerLetter"/>
      <w:lvlText w:val="%5."/>
      <w:lvlJc w:val="left"/>
      <w:pPr>
        <w:ind w:left="3600" w:hanging="360"/>
      </w:pPr>
    </w:lvl>
    <w:lvl w:ilvl="5" w:tplc="B440AD46" w:tentative="1">
      <w:start w:val="1"/>
      <w:numFmt w:val="lowerRoman"/>
      <w:lvlText w:val="%6."/>
      <w:lvlJc w:val="right"/>
      <w:pPr>
        <w:ind w:left="4320" w:hanging="180"/>
      </w:pPr>
    </w:lvl>
    <w:lvl w:ilvl="6" w:tplc="0C545896" w:tentative="1">
      <w:start w:val="1"/>
      <w:numFmt w:val="decimal"/>
      <w:lvlText w:val="%7."/>
      <w:lvlJc w:val="left"/>
      <w:pPr>
        <w:ind w:left="5040" w:hanging="360"/>
      </w:pPr>
    </w:lvl>
    <w:lvl w:ilvl="7" w:tplc="CB4A866C" w:tentative="1">
      <w:start w:val="1"/>
      <w:numFmt w:val="lowerLetter"/>
      <w:lvlText w:val="%8."/>
      <w:lvlJc w:val="left"/>
      <w:pPr>
        <w:ind w:left="5760" w:hanging="360"/>
      </w:pPr>
    </w:lvl>
    <w:lvl w:ilvl="8" w:tplc="706A0976" w:tentative="1">
      <w:start w:val="1"/>
      <w:numFmt w:val="lowerRoman"/>
      <w:lvlText w:val="%9."/>
      <w:lvlJc w:val="right"/>
      <w:pPr>
        <w:ind w:left="6480" w:hanging="180"/>
      </w:pPr>
    </w:lvl>
  </w:abstractNum>
  <w:abstractNum w:abstractNumId="5" w15:restartNumberingAfterBreak="0">
    <w:nsid w:val="76B00CCD"/>
    <w:multiLevelType w:val="hybridMultilevel"/>
    <w:tmpl w:val="5EE2A0DE"/>
    <w:lvl w:ilvl="0" w:tplc="3A4E1E3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054EA"/>
    <w:rsid w:val="000661EA"/>
    <w:rsid w:val="00070CA9"/>
    <w:rsid w:val="00090822"/>
    <w:rsid w:val="0009600B"/>
    <w:rsid w:val="000A02D3"/>
    <w:rsid w:val="000A73A8"/>
    <w:rsid w:val="000B7A18"/>
    <w:rsid w:val="000F1262"/>
    <w:rsid w:val="00131843"/>
    <w:rsid w:val="001D5338"/>
    <w:rsid w:val="001F2CC9"/>
    <w:rsid w:val="001F3440"/>
    <w:rsid w:val="001F5744"/>
    <w:rsid w:val="0020414D"/>
    <w:rsid w:val="002F6C12"/>
    <w:rsid w:val="00300F9D"/>
    <w:rsid w:val="00314AB1"/>
    <w:rsid w:val="00351A80"/>
    <w:rsid w:val="00397EAF"/>
    <w:rsid w:val="003C6581"/>
    <w:rsid w:val="00413C59"/>
    <w:rsid w:val="004A6936"/>
    <w:rsid w:val="004B2C5C"/>
    <w:rsid w:val="004C063E"/>
    <w:rsid w:val="004C7390"/>
    <w:rsid w:val="004E556B"/>
    <w:rsid w:val="005434DD"/>
    <w:rsid w:val="00574FA5"/>
    <w:rsid w:val="00577BEF"/>
    <w:rsid w:val="005822F1"/>
    <w:rsid w:val="005B2342"/>
    <w:rsid w:val="005B72E9"/>
    <w:rsid w:val="005C125C"/>
    <w:rsid w:val="006456B0"/>
    <w:rsid w:val="00671977"/>
    <w:rsid w:val="00690C91"/>
    <w:rsid w:val="00693F37"/>
    <w:rsid w:val="00696EC3"/>
    <w:rsid w:val="006B2306"/>
    <w:rsid w:val="006C5375"/>
    <w:rsid w:val="00724244"/>
    <w:rsid w:val="007468FD"/>
    <w:rsid w:val="0074786F"/>
    <w:rsid w:val="0077141B"/>
    <w:rsid w:val="00775F81"/>
    <w:rsid w:val="007B093B"/>
    <w:rsid w:val="007F72D9"/>
    <w:rsid w:val="008043A2"/>
    <w:rsid w:val="0080445D"/>
    <w:rsid w:val="0081004A"/>
    <w:rsid w:val="00833FD9"/>
    <w:rsid w:val="008455C2"/>
    <w:rsid w:val="00881517"/>
    <w:rsid w:val="00881BBD"/>
    <w:rsid w:val="008D001C"/>
    <w:rsid w:val="008E370D"/>
    <w:rsid w:val="008E4909"/>
    <w:rsid w:val="00917630"/>
    <w:rsid w:val="00921AB1"/>
    <w:rsid w:val="0092739D"/>
    <w:rsid w:val="009A410D"/>
    <w:rsid w:val="00A13298"/>
    <w:rsid w:val="00A13AE5"/>
    <w:rsid w:val="00A33D5F"/>
    <w:rsid w:val="00A75555"/>
    <w:rsid w:val="00A87F50"/>
    <w:rsid w:val="00AD1D99"/>
    <w:rsid w:val="00AE0F2A"/>
    <w:rsid w:val="00B351AE"/>
    <w:rsid w:val="00B376DF"/>
    <w:rsid w:val="00B85327"/>
    <w:rsid w:val="00B93E02"/>
    <w:rsid w:val="00BB2EB3"/>
    <w:rsid w:val="00BD3726"/>
    <w:rsid w:val="00C31E1D"/>
    <w:rsid w:val="00C432D4"/>
    <w:rsid w:val="00CB0B02"/>
    <w:rsid w:val="00CD3A23"/>
    <w:rsid w:val="00CE0CAA"/>
    <w:rsid w:val="00D13EBB"/>
    <w:rsid w:val="00D735D8"/>
    <w:rsid w:val="00D76A53"/>
    <w:rsid w:val="00D87258"/>
    <w:rsid w:val="00DA4145"/>
    <w:rsid w:val="00DB4D10"/>
    <w:rsid w:val="00DB5B97"/>
    <w:rsid w:val="00DE03F1"/>
    <w:rsid w:val="00DE0779"/>
    <w:rsid w:val="00DE105D"/>
    <w:rsid w:val="00DF436E"/>
    <w:rsid w:val="00E03D67"/>
    <w:rsid w:val="00E55F2E"/>
    <w:rsid w:val="00E76598"/>
    <w:rsid w:val="00E7661A"/>
    <w:rsid w:val="00EF5284"/>
    <w:rsid w:val="00F87AF8"/>
    <w:rsid w:val="00FC7D4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1DD0"/>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E0779"/>
    <w:pPr>
      <w:jc w:val="both"/>
    </w:pPr>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paragraph" w:styleId="Virsraksts3">
    <w:name w:val="heading 3"/>
    <w:basedOn w:val="Parasts"/>
    <w:next w:val="Parasts"/>
    <w:link w:val="Virsraksts3Rakstz"/>
    <w:uiPriority w:val="9"/>
    <w:semiHidden/>
    <w:unhideWhenUsed/>
    <w:qFormat/>
    <w:rsid w:val="00300F9D"/>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character" w:customStyle="1" w:styleId="Virsraksts3Rakstz">
    <w:name w:val="Virsraksts 3 Rakstz."/>
    <w:basedOn w:val="Noklusjumarindkopasfonts"/>
    <w:link w:val="Virsraksts3"/>
    <w:uiPriority w:val="9"/>
    <w:semiHidden/>
    <w:rsid w:val="00300F9D"/>
    <w:rPr>
      <w:rFonts w:asciiTheme="majorHAnsi" w:eastAsiaTheme="majorEastAsia" w:hAnsiTheme="majorHAnsi" w:cstheme="majorBidi"/>
      <w:color w:val="1F3763" w:themeColor="accent1" w:themeShade="7F"/>
      <w:sz w:val="24"/>
      <w:szCs w:val="24"/>
    </w:rPr>
  </w:style>
  <w:style w:type="character" w:styleId="Izteiksmgs">
    <w:name w:val="Strong"/>
    <w:uiPriority w:val="22"/>
    <w:qFormat/>
    <w:rsid w:val="00300F9D"/>
    <w:rPr>
      <w:b/>
      <w:bCs/>
    </w:rPr>
  </w:style>
  <w:style w:type="paragraph" w:styleId="Sarakstarindkopa">
    <w:name w:val="List Paragraph"/>
    <w:basedOn w:val="Parasts"/>
    <w:uiPriority w:val="34"/>
    <w:qFormat/>
    <w:rsid w:val="00300F9D"/>
    <w:pPr>
      <w:ind w:left="720"/>
      <w:contextualSpacing/>
    </w:pPr>
  </w:style>
  <w:style w:type="paragraph" w:styleId="Pamatteksts2">
    <w:name w:val="Body Text 2"/>
    <w:basedOn w:val="Parasts"/>
    <w:link w:val="Pamatteksts2Rakstz"/>
    <w:semiHidden/>
    <w:unhideWhenUsed/>
    <w:rsid w:val="00724244"/>
    <w:pPr>
      <w:spacing w:after="120" w:line="480" w:lineRule="auto"/>
      <w:jc w:val="left"/>
    </w:pPr>
    <w:rPr>
      <w:sz w:val="20"/>
      <w:szCs w:val="20"/>
      <w:lang w:val="en-AU" w:eastAsia="en-US"/>
    </w:rPr>
  </w:style>
  <w:style w:type="character" w:customStyle="1" w:styleId="Pamatteksts2Rakstz">
    <w:name w:val="Pamatteksts 2 Rakstz."/>
    <w:basedOn w:val="Noklusjumarindkopasfonts"/>
    <w:link w:val="Pamatteksts2"/>
    <w:semiHidden/>
    <w:rsid w:val="00724244"/>
    <w:rPr>
      <w:rFonts w:ascii="Times New Roman" w:eastAsia="Times New Roman" w:hAnsi="Times New Roman"/>
      <w:lang w:val="en-AU" w:eastAsia="en-US"/>
    </w:rPr>
  </w:style>
  <w:style w:type="character" w:styleId="Hipersaite">
    <w:name w:val="Hyperlink"/>
    <w:basedOn w:val="Noklusjumarindkopasfonts"/>
    <w:uiPriority w:val="99"/>
    <w:unhideWhenUsed/>
    <w:rsid w:val="007B093B"/>
    <w:rPr>
      <w:color w:val="0563C1" w:themeColor="hyperlink"/>
      <w:u w:val="single"/>
    </w:rPr>
  </w:style>
  <w:style w:type="paragraph" w:styleId="Vresteksts">
    <w:name w:val="footnote text"/>
    <w:basedOn w:val="Parasts"/>
    <w:link w:val="VrestekstsRakstz"/>
    <w:uiPriority w:val="99"/>
    <w:semiHidden/>
    <w:unhideWhenUsed/>
    <w:rsid w:val="007B093B"/>
    <w:pPr>
      <w:jc w:val="left"/>
    </w:pPr>
    <w:rPr>
      <w:rFonts w:asciiTheme="minorHAnsi" w:eastAsiaTheme="minorHAnsi" w:hAnsiTheme="minorHAnsi" w:cstheme="minorBidi"/>
      <w:kern w:val="2"/>
      <w:sz w:val="20"/>
      <w:szCs w:val="20"/>
      <w:lang w:eastAsia="en-US"/>
      <w14:ligatures w14:val="standardContextual"/>
    </w:rPr>
  </w:style>
  <w:style w:type="character" w:customStyle="1" w:styleId="VrestekstsRakstz">
    <w:name w:val="Vēres teksts Rakstz."/>
    <w:basedOn w:val="Noklusjumarindkopasfonts"/>
    <w:link w:val="Vresteksts"/>
    <w:uiPriority w:val="99"/>
    <w:semiHidden/>
    <w:rsid w:val="007B093B"/>
    <w:rPr>
      <w:rFonts w:asciiTheme="minorHAnsi" w:eastAsiaTheme="minorHAnsi" w:hAnsiTheme="minorHAnsi" w:cstheme="minorBidi"/>
      <w:kern w:val="2"/>
      <w:lang w:eastAsia="en-US"/>
      <w14:ligatures w14:val="standardContextual"/>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Ref"/>
    <w:basedOn w:val="Noklusjumarindkopasfonts"/>
    <w:link w:val="Char2"/>
    <w:uiPriority w:val="99"/>
    <w:unhideWhenUsed/>
    <w:qFormat/>
    <w:rsid w:val="007B093B"/>
    <w:rPr>
      <w:vertAlign w:val="superscript"/>
    </w:rPr>
  </w:style>
  <w:style w:type="paragraph" w:customStyle="1" w:styleId="Char2">
    <w:name w:val="Char2"/>
    <w:aliases w:val="Char Char Char Char"/>
    <w:basedOn w:val="Parasts"/>
    <w:next w:val="Parasts"/>
    <w:link w:val="Vresatsauce"/>
    <w:uiPriority w:val="99"/>
    <w:rsid w:val="005822F1"/>
    <w:pPr>
      <w:spacing w:line="240" w:lineRule="exact"/>
      <w:ind w:firstLine="567"/>
      <w:textAlignment w:val="baseline"/>
    </w:pPr>
    <w:rPr>
      <w:rFonts w:ascii="Calibri" w:eastAsia="Calibri" w:hAnsi="Calibri"/>
      <w:sz w:val="20"/>
      <w:szCs w:val="20"/>
      <w:vertAlign w:val="superscript"/>
    </w:rPr>
  </w:style>
  <w:style w:type="table" w:styleId="Reatabula">
    <w:name w:val="Table Grid"/>
    <w:basedOn w:val="Parastatabula"/>
    <w:uiPriority w:val="59"/>
    <w:rsid w:val="005822F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novads.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6615</Words>
  <Characters>3772</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Dace Tauriņa</cp:lastModifiedBy>
  <cp:revision>10</cp:revision>
  <cp:lastPrinted>2022-01-04T14:14:00Z</cp:lastPrinted>
  <dcterms:created xsi:type="dcterms:W3CDTF">2026-02-03T14:50:00Z</dcterms:created>
  <dcterms:modified xsi:type="dcterms:W3CDTF">2026-06-01T06:26:00Z</dcterms:modified>
</cp:coreProperties>
</file>