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0D6222" w14:textId="77777777" w:rsidR="00CA2D12" w:rsidRDefault="00000000">
      <w:r>
        <w:rPr>
          <w:b/>
          <w:bCs/>
        </w:rPr>
        <w:t>SIA “Ingka Investments Renewable Energy Latvia”</w:t>
      </w:r>
    </w:p>
    <w:p w14:paraId="407AAA3D" w14:textId="77777777" w:rsidR="00CA2D12" w:rsidRDefault="00000000">
      <w:r>
        <w:rPr>
          <w:sz w:val="20"/>
          <w:szCs w:val="20"/>
        </w:rPr>
        <w:t>Reģistrācijas Nr. 40203573272</w:t>
      </w:r>
    </w:p>
    <w:p w14:paraId="2B59D4AC" w14:textId="311A04FE" w:rsidR="00CA2D12" w:rsidRDefault="00CA2D12" w:rsidP="00DD22DD"/>
    <w:p w14:paraId="47B926B6" w14:textId="77777777" w:rsidR="00391D7B" w:rsidRDefault="00391D7B">
      <w:pPr>
        <w:jc w:val="right"/>
        <w:rPr>
          <w:b/>
          <w:bCs/>
        </w:rPr>
      </w:pPr>
    </w:p>
    <w:p w14:paraId="46F436E3" w14:textId="77777777" w:rsidR="00391D7B" w:rsidRDefault="00391D7B">
      <w:pPr>
        <w:jc w:val="right"/>
        <w:rPr>
          <w:b/>
          <w:bCs/>
        </w:rPr>
      </w:pPr>
    </w:p>
    <w:p w14:paraId="304087DA" w14:textId="250EE1AC" w:rsidR="00CA2D12" w:rsidRDefault="00000000">
      <w:pPr>
        <w:jc w:val="right"/>
      </w:pPr>
      <w:r>
        <w:rPr>
          <w:b/>
          <w:bCs/>
        </w:rPr>
        <w:t>Limbažu novada domei</w:t>
      </w:r>
    </w:p>
    <w:p w14:paraId="36A886F8" w14:textId="77777777" w:rsidR="00CA2D12" w:rsidRDefault="00000000">
      <w:pPr>
        <w:jc w:val="right"/>
      </w:pPr>
      <w:r>
        <w:t>Rīgas ielā 16, Limbažos,</w:t>
      </w:r>
    </w:p>
    <w:p w14:paraId="7A4EAA96" w14:textId="77777777" w:rsidR="00CA2D12" w:rsidRDefault="00000000">
      <w:pPr>
        <w:jc w:val="right"/>
      </w:pPr>
      <w:r>
        <w:t>Limbažu novadā, LV-4001</w:t>
      </w:r>
    </w:p>
    <w:p w14:paraId="36F33C2C" w14:textId="77777777" w:rsidR="00CA2D12" w:rsidRDefault="00000000">
      <w:pPr>
        <w:spacing w:after="240"/>
        <w:jc w:val="right"/>
      </w:pPr>
      <w:r>
        <w:t>pasts@limbazunovads.lv</w:t>
      </w:r>
    </w:p>
    <w:p w14:paraId="2C582B3E" w14:textId="77777777" w:rsidR="00CA2D12" w:rsidRDefault="00000000">
      <w:pPr>
        <w:spacing w:before="120" w:after="280"/>
        <w:jc w:val="center"/>
      </w:pPr>
      <w:r>
        <w:rPr>
          <w:b/>
          <w:bCs/>
        </w:rPr>
        <w:t>Par iesniegumu tehnisko noteikumu saņemšanai vēja parka “Limbaži Rietumi” paredzētajai darbībai</w:t>
      </w:r>
    </w:p>
    <w:p w14:paraId="4D7FB966" w14:textId="77777777" w:rsidR="00CA2D12" w:rsidRDefault="00000000">
      <w:pPr>
        <w:spacing w:after="160" w:line="276" w:lineRule="auto"/>
        <w:jc w:val="both"/>
      </w:pPr>
      <w:r>
        <w:t>Valsts vides dienests (turpmāk – Dienests) 14.09.2026. ir publicējis informatīvo paziņojumu par saņemtu iesniegumu tehnisko noteikumu izsniegšanai 10 vēja elektrostaciju (VES-A1 – VES-A10) būvniecībai Limbažu un Viļķenes pagastā, nosakot iebildumu iesniegšanas termiņu līdz 25.09.2026. Šajā sakarā SIA “Ingka Investments Renewable Energy Latvia”, reģistrācijas Nr. 40203573272 (turpmāk – Ierosinātājs), sniedz Limbažu novada domei (turpmāk – Dome) skaidrojumu par to, kāpēc šāds iesniegums ir iesniegts, kāda ir tā tiesiskā nozīme un kas seko tālāk.</w:t>
      </w:r>
    </w:p>
    <w:p w14:paraId="37F849A8" w14:textId="77777777" w:rsidR="00CA2D12" w:rsidRDefault="00000000">
      <w:pPr>
        <w:spacing w:before="280" w:after="140"/>
      </w:pPr>
      <w:r>
        <w:rPr>
          <w:b/>
          <w:bCs/>
        </w:rPr>
        <w:t>1. Faktiskie apstākļi</w:t>
      </w:r>
    </w:p>
    <w:p w14:paraId="4B2E966F" w14:textId="77777777" w:rsidR="00CA2D12" w:rsidRDefault="00000000">
      <w:pPr>
        <w:spacing w:after="160" w:line="276" w:lineRule="auto"/>
        <w:jc w:val="both"/>
      </w:pPr>
      <w:r>
        <w:t>Ierosinātājs Dienestā ir pieteicis paredzēto darbību – vēja parka “Limbaži Rietumi” un tā saistītās infrastruktūras izbūvi Limbažu novada Limbažu un Viļķenes pagastā – ietekmes uz vidi sākotnējam izvērtējumam, izmantojot Enerģētiskās drošības un neatkarības veicināšanai nepieciešamās atvieglotās energoapgādes būvju būvniecības kārtības likumā (turpmāk – Atvieglotās kārtības likums) noteiktās tiesības.</w:t>
      </w:r>
    </w:p>
    <w:p w14:paraId="554E0973" w14:textId="77777777" w:rsidR="00CA2D12" w:rsidRDefault="00000000">
      <w:pPr>
        <w:spacing w:after="160" w:line="276" w:lineRule="auto"/>
        <w:jc w:val="both"/>
      </w:pPr>
      <w:r>
        <w:t xml:space="preserve">Dienests 16.07.2026. ietekmes sākotnējā izvērtējuma Nr. AP26SI0145 rezultātā pieņēma lēmumu nepiemērot ietekmes uz vidi novērtējuma (turpmāk – IVN) procedūru Paredzētajai darbībai. Lēmumā Dienests tieši norādīja, ka tas ir starplēmums, kas nav atsevišķi apstrīdams, un ka Dienests Paredzētajai darbībai </w:t>
      </w:r>
    </w:p>
    <w:p w14:paraId="2DCD548C" w14:textId="77777777" w:rsidR="00CA2D12" w:rsidRDefault="00000000">
      <w:pPr>
        <w:spacing w:after="160" w:line="276" w:lineRule="auto"/>
        <w:ind w:left="400" w:right="400"/>
        <w:jc w:val="both"/>
      </w:pPr>
      <w:r>
        <w:rPr>
          <w:i/>
          <w:iCs/>
        </w:rPr>
        <w:t>izsniegs tehniskos noteikumus pēc tam, kad vēja elektrostaciju un saistīto elektroapgādes tīklu un būvju būvniecība atbildīs Limbažu novada teritorijas plānojumam, un pēc iesnieguma tehnisko noteikumu saņemšanai iesniegšanas Būvniecības informācijas sistēmā</w:t>
      </w:r>
    </w:p>
    <w:p w14:paraId="39315B8C" w14:textId="77777777" w:rsidR="00CA2D12" w:rsidRDefault="00000000">
      <w:pPr>
        <w:spacing w:after="160" w:line="276" w:lineRule="auto"/>
        <w:jc w:val="both"/>
      </w:pPr>
      <w:r>
        <w:t>Tātad iesniegums tehnisko noteikumu saņemšanai ir procedūras solis, ko Dienests savā 16.07.2026. lēmumā ir tieši uzdevis veikt. Ierosinātājs šo soli ir izpildījis.</w:t>
      </w:r>
    </w:p>
    <w:p w14:paraId="3591D7C9" w14:textId="77777777" w:rsidR="00CA2D12" w:rsidRDefault="00000000">
      <w:pPr>
        <w:spacing w:before="280" w:after="140"/>
      </w:pPr>
      <w:r>
        <w:rPr>
          <w:b/>
          <w:bCs/>
        </w:rPr>
        <w:t>2. Kāpēc tehniskie noteikumi ir nepieciešami</w:t>
      </w:r>
    </w:p>
    <w:p w14:paraId="37101043" w14:textId="77777777" w:rsidR="00CA2D12" w:rsidRDefault="00000000">
      <w:pPr>
        <w:spacing w:after="160" w:line="276" w:lineRule="auto"/>
        <w:jc w:val="both"/>
      </w:pPr>
      <w:r>
        <w:t>Ietekmes uz vidi sākotnējā izvērtējuma procedūra nenoslēdzas ar lēmumu par IVN nepiemērošanu. Saskaņā ar likuma “Par ietekmes uz vidi novērtējumu” 12. un 13. pantu un Ministru kabineta 27.01.2015. noteikumiem Nr. 30 “Kārtība, kādā Valsts vides dienests izdod tehniskos noteikumus paredzētajai darbībai” procedūru noslēdz un tās rezultātu juridiski nostiprina tieši tehniskie noteikumi. Tāpēc iesniegums to saņemšanai nav jauns vai papildu solis, bet gan sākotnējā izvērtējuma procedūras pabeigšana.</w:t>
      </w:r>
    </w:p>
    <w:p w14:paraId="7E4CB6CC" w14:textId="77777777" w:rsidR="00CA2D12" w:rsidRDefault="00000000">
      <w:pPr>
        <w:spacing w:after="160" w:line="276" w:lineRule="auto"/>
        <w:jc w:val="both"/>
      </w:pPr>
      <w:r>
        <w:t>Tehniskajiem noteikumiem ir trīs praktiskas funkcijas:</w:t>
      </w:r>
    </w:p>
    <w:p w14:paraId="600DB5DB" w14:textId="77777777" w:rsidR="00CA2D12" w:rsidRDefault="00000000">
      <w:pPr>
        <w:pStyle w:val="ListParagraph"/>
        <w:numPr>
          <w:ilvl w:val="0"/>
          <w:numId w:val="2"/>
        </w:numPr>
        <w:spacing w:after="100" w:line="276" w:lineRule="auto"/>
        <w:jc w:val="both"/>
      </w:pPr>
      <w:r>
        <w:t xml:space="preserve">Tie pārvērš izvērtējumā identificētās ietekmju novēršanas un mazināšanas prasības no ekspertu rekomendācijām par juridiski saistošiem nosacījumiem. Tostarp tajos iekļaujami Dabas aizsardzības pārvaldes 31.03.2026. atzinumā Nr. 4.9/2117/2026-N izvirzītie nosacījumi dabas vērtību aizsardzībai, pirmsbūvniecības monitorings putnu un sikspārņu sugu ietekmes </w:t>
      </w:r>
      <w:r>
        <w:lastRenderedPageBreak/>
        <w:t>novērtēšanai, putnu detektēšanas un automātiskās VES apturēšanas sistēmu prasības, trokšņa mērījumi, ugunsdrošības pasākumi, kā arī Nacionālās kultūras mantojuma pārvaldes, Civilās aviācijas aģentūras, VAS “Elektroniskie sakari” un VAS “Latvijas Valsts radio un televīzijas centrs” izvirzītās prasības.</w:t>
      </w:r>
    </w:p>
    <w:p w14:paraId="0906753E" w14:textId="77777777" w:rsidR="00CA2D12" w:rsidRDefault="00000000">
      <w:pPr>
        <w:pStyle w:val="ListParagraph"/>
        <w:numPr>
          <w:ilvl w:val="0"/>
          <w:numId w:val="2"/>
        </w:numPr>
        <w:spacing w:after="100" w:line="276" w:lineRule="auto"/>
        <w:jc w:val="both"/>
      </w:pPr>
      <w:r>
        <w:t>Tie rada Dienestam kontroles pamatu. Dienests tehniskajos noteikumos izvirzīto vides aizsardzības prasību izpildi pārbauda būvprojektu saskaņošanas laikā, būvdarbu laikā un pirms būvju nodošanas ekspluatācijā. Bez tehniskajiem noteikumiem šāda kontroles kārtība neiestājas.</w:t>
      </w:r>
    </w:p>
    <w:p w14:paraId="57CC8777" w14:textId="77777777" w:rsidR="00CA2D12" w:rsidRDefault="00000000">
      <w:pPr>
        <w:pStyle w:val="ListParagraph"/>
        <w:numPr>
          <w:ilvl w:val="0"/>
          <w:numId w:val="2"/>
        </w:numPr>
        <w:spacing w:after="100" w:line="276" w:lineRule="auto"/>
        <w:jc w:val="both"/>
      </w:pPr>
      <w:r>
        <w:t>Tie ir pārskatāmi. Ministru kabineta noteikumu Nr. 30 25. un 26. punkts ļauj Dienestam tehniskajos noteikumos izvirzītās prasības grozīt vai pārskatīt, tostarp pamatojoties uz sabiedrības argumentētu iesniegumu vai monitoringa rezultātiem.</w:t>
      </w:r>
    </w:p>
    <w:p w14:paraId="5C75C60E" w14:textId="77777777" w:rsidR="00CA2D12" w:rsidRDefault="00000000">
      <w:pPr>
        <w:spacing w:after="160" w:line="276" w:lineRule="auto"/>
        <w:jc w:val="both"/>
      </w:pPr>
      <w:r>
        <w:t>Dienests šo pieeju ir apstiprinājis arī savā 07.09.2026. vēstulē Nr. 2.16/AP/8013/2026, norādot, ka tehniskie noteikumi ir “instruments ietekmes sākotnējā izvērtējumā identificēto risku pārvaldībai un kalpo kā ietekmes novēršanas un kontroles mehānisms”.</w:t>
      </w:r>
    </w:p>
    <w:p w14:paraId="2D3C0185" w14:textId="77777777" w:rsidR="00CA2D12" w:rsidRDefault="00000000">
      <w:pPr>
        <w:spacing w:before="280" w:after="140"/>
      </w:pPr>
      <w:r>
        <w:rPr>
          <w:b/>
          <w:bCs/>
        </w:rPr>
        <w:t>3. Ko tehniskie noteikumi nenozīmē</w:t>
      </w:r>
    </w:p>
    <w:p w14:paraId="72131D83" w14:textId="77777777" w:rsidR="00CA2D12" w:rsidRDefault="00000000">
      <w:pPr>
        <w:spacing w:after="160" w:line="276" w:lineRule="auto"/>
        <w:jc w:val="both"/>
      </w:pPr>
      <w:r>
        <w:t>Ierosinātājs uzsver, ka tehniskie noteikumi:</w:t>
      </w:r>
    </w:p>
    <w:p w14:paraId="62600E64" w14:textId="77777777" w:rsidR="00CA2D12" w:rsidRDefault="00000000">
      <w:pPr>
        <w:pStyle w:val="ListParagraph"/>
        <w:numPr>
          <w:ilvl w:val="0"/>
          <w:numId w:val="2"/>
        </w:numPr>
        <w:spacing w:after="100" w:line="276" w:lineRule="auto"/>
        <w:jc w:val="both"/>
      </w:pPr>
      <w:r>
        <w:t>nav būvatļauja un nedod tiesības uzsākt būvniecību;</w:t>
      </w:r>
    </w:p>
    <w:p w14:paraId="1A15106F" w14:textId="77777777" w:rsidR="00CA2D12" w:rsidRDefault="00000000">
      <w:pPr>
        <w:pStyle w:val="ListParagraph"/>
        <w:numPr>
          <w:ilvl w:val="0"/>
          <w:numId w:val="2"/>
        </w:numPr>
        <w:spacing w:after="100" w:line="276" w:lineRule="auto"/>
        <w:jc w:val="both"/>
      </w:pPr>
      <w:r>
        <w:t>nemaina teritorijas plānojumā noteikto funkcionālo zonējumu un neaizstāj teritorijas attīstības plānošanas procedūru;</w:t>
      </w:r>
    </w:p>
    <w:p w14:paraId="352440B3" w14:textId="77777777" w:rsidR="00CA2D12" w:rsidRDefault="00000000">
      <w:pPr>
        <w:pStyle w:val="ListParagraph"/>
        <w:numPr>
          <w:ilvl w:val="0"/>
          <w:numId w:val="2"/>
        </w:numPr>
        <w:spacing w:after="100" w:line="276" w:lineRule="auto"/>
        <w:jc w:val="both"/>
      </w:pPr>
      <w:r>
        <w:t>neizslēdz Domes kompetenci – Dienests 16.07.2026. lēmumā ir tieši norādījis, ka lēmuma pieņemšana par Paredzētās darbības atbilstību spēkā esošajam teritorijas plānojumam, par lokālplānojuma izstrādes uzsākšanu vai par atbilstīga funkcionālā zonējuma noteikšanu izstrādes stadijā esošajā Limbažu novada teritorijas plānojumā ir Domes kompetencē;</w:t>
      </w:r>
    </w:p>
    <w:p w14:paraId="4AD2ECB7" w14:textId="77777777" w:rsidR="00CA2D12" w:rsidRDefault="00000000">
      <w:pPr>
        <w:pStyle w:val="ListParagraph"/>
        <w:numPr>
          <w:ilvl w:val="0"/>
          <w:numId w:val="2"/>
        </w:numPr>
        <w:spacing w:after="100" w:line="276" w:lineRule="auto"/>
        <w:jc w:val="both"/>
      </w:pPr>
      <w:r>
        <w:t>netiek izsniegti, kamēr nav nodrošināta Paredzētās darbības atbilstība spēkā esošajam teritorijas plānojumam – to Dienests ir apstiprinājis arī 07.09.2026. vēstulē, norādot, ka šobrīd tehniskie noteikumi nav izdoti tieši šā iemesla dēļ.</w:t>
      </w:r>
    </w:p>
    <w:p w14:paraId="18D01295" w14:textId="77777777" w:rsidR="00CA2D12" w:rsidRDefault="00000000">
      <w:pPr>
        <w:spacing w:before="280" w:after="140"/>
      </w:pPr>
      <w:r>
        <w:rPr>
          <w:b/>
          <w:bCs/>
        </w:rPr>
        <w:t>4. Sabiedrības informēšana</w:t>
      </w:r>
    </w:p>
    <w:p w14:paraId="01659967" w14:textId="77777777" w:rsidR="00CA2D12" w:rsidRDefault="00000000">
      <w:pPr>
        <w:spacing w:after="160" w:line="276" w:lineRule="auto"/>
        <w:jc w:val="both"/>
      </w:pPr>
      <w:r>
        <w:t>Iesnieguma iesniegšana ir izraisījusi Ministru kabineta noteikumos Nr. 30 paredzēto informatīvā paziņojuma publikāciju un iebildumu iesniegšanas termiņu no 14.09.2026. līdz 25.09.2026. Tādējādi tas nesašaurina, bet gan papildina sabiedrības informēšanas iespējas: Domei un iedzīvotājiem šajā termiņā ir formāls kanāls iesniegt Dienestam iebildumus un priekšlikumus par tehniskajos noteikumos iekļaujamajām vides aizsardzības prasībām.</w:t>
      </w:r>
    </w:p>
    <w:p w14:paraId="31BAAB88" w14:textId="45FA9402" w:rsidR="00CA2D12" w:rsidRDefault="00000000">
      <w:pPr>
        <w:spacing w:after="160" w:line="276" w:lineRule="auto"/>
        <w:jc w:val="both"/>
      </w:pPr>
      <w:r>
        <w:t>Papildus Ierosinātājs atkārtoti apliecina, ka pēc savas iniciatīvas – ārpus normatīvajos aktos noteiktā pienākuma – plāno organizēt Paredzētās darbības sabiedrisko apspriešanu</w:t>
      </w:r>
      <w:r w:rsidR="00AF3C51">
        <w:t>.</w:t>
      </w:r>
    </w:p>
    <w:p w14:paraId="61535334" w14:textId="77777777" w:rsidR="00CA2D12" w:rsidRDefault="00000000">
      <w:pPr>
        <w:spacing w:before="280" w:after="140"/>
      </w:pPr>
      <w:r>
        <w:rPr>
          <w:b/>
          <w:bCs/>
        </w:rPr>
        <w:t>5. Turpmākie soļi</w:t>
      </w:r>
    </w:p>
    <w:p w14:paraId="54ABCC37" w14:textId="77777777" w:rsidR="00CA2D12" w:rsidRDefault="00000000">
      <w:pPr>
        <w:spacing w:after="160" w:line="276" w:lineRule="auto"/>
        <w:jc w:val="both"/>
      </w:pPr>
      <w:r>
        <w:t>Pēc iesnieguma izskatīšanas Paredzētās darbības virzībā sekos šādi posmi:</w:t>
      </w:r>
    </w:p>
    <w:p w14:paraId="5DC645CD" w14:textId="4083E35B" w:rsidR="00CA2D12" w:rsidRDefault="00000000">
      <w:pPr>
        <w:pStyle w:val="ListParagraph"/>
        <w:numPr>
          <w:ilvl w:val="0"/>
          <w:numId w:val="2"/>
        </w:numPr>
        <w:spacing w:after="100" w:line="276" w:lineRule="auto"/>
        <w:jc w:val="both"/>
      </w:pPr>
      <w:r>
        <w:t>teritorijas attīstības plānošanas posms – atbilstīga funkcionālā zonējuma vai izmantošanas nosacījumu noteikšana izstrādes stadijā esošajā Limbažu novada teritorijas plānojumā vai lokālplānojuma izstrāde</w:t>
      </w:r>
      <w:r w:rsidR="00AF3C51">
        <w:t>;</w:t>
      </w:r>
    </w:p>
    <w:p w14:paraId="1A70B1ED" w14:textId="77777777" w:rsidR="00CA2D12" w:rsidRDefault="00000000">
      <w:pPr>
        <w:pStyle w:val="ListParagraph"/>
        <w:numPr>
          <w:ilvl w:val="0"/>
          <w:numId w:val="2"/>
        </w:numPr>
        <w:spacing w:after="100" w:line="276" w:lineRule="auto"/>
        <w:jc w:val="both"/>
      </w:pPr>
      <w:r>
        <w:t>tehnisko noteikumu izsniegšana pēc atbilstības teritorijas plānojumam nodrošināšanas;</w:t>
      </w:r>
    </w:p>
    <w:p w14:paraId="70668C83" w14:textId="77777777" w:rsidR="00CA2D12" w:rsidRDefault="00000000">
      <w:pPr>
        <w:pStyle w:val="ListParagraph"/>
        <w:numPr>
          <w:ilvl w:val="0"/>
          <w:numId w:val="2"/>
        </w:numPr>
        <w:spacing w:after="100" w:line="276" w:lineRule="auto"/>
        <w:jc w:val="both"/>
      </w:pPr>
      <w:r>
        <w:lastRenderedPageBreak/>
        <w:t>būvniecības ieceres un būvatļaujas procedūra, kurā Domei saglabājas tiesības lemt par Paredzētās darbības pieļaujamību, tostarp balstoties uz sabiedrības viedokli;</w:t>
      </w:r>
    </w:p>
    <w:p w14:paraId="29297F5E" w14:textId="77777777" w:rsidR="00CA2D12" w:rsidRDefault="00000000">
      <w:pPr>
        <w:pStyle w:val="ListParagraph"/>
        <w:numPr>
          <w:ilvl w:val="0"/>
          <w:numId w:val="2"/>
        </w:numPr>
        <w:spacing w:after="100" w:line="276" w:lineRule="auto"/>
        <w:jc w:val="both"/>
      </w:pPr>
      <w:r>
        <w:t>pirmsbūvniecības monitorings putnu un sikspārņu sugu ietekmes detalizētai novērtēšanai atbilstoši Dabas aizsardzības pārvaldes nosacījumiem, kura rezultātā var tikt izvirzīti papildu nosacījumi vai ierobežojumi;</w:t>
      </w:r>
    </w:p>
    <w:p w14:paraId="2682DFF7" w14:textId="77777777" w:rsidR="00CA2D12" w:rsidRDefault="00000000">
      <w:pPr>
        <w:pStyle w:val="ListParagraph"/>
        <w:numPr>
          <w:ilvl w:val="0"/>
          <w:numId w:val="2"/>
        </w:numPr>
        <w:spacing w:after="100" w:line="276" w:lineRule="auto"/>
        <w:jc w:val="both"/>
      </w:pPr>
      <w:r>
        <w:t>C kategorijas piesārņojošās darbības reģistrācija Dienestā pirms vēja elektrostaciju darbības uzsākšanas.</w:t>
      </w:r>
    </w:p>
    <w:p w14:paraId="05D6DCD4" w14:textId="77777777" w:rsidR="00CA2D12" w:rsidRDefault="00000000">
      <w:pPr>
        <w:spacing w:before="280" w:after="140"/>
      </w:pPr>
      <w:r>
        <w:rPr>
          <w:b/>
          <w:bCs/>
        </w:rPr>
        <w:t>6. Nobeigums</w:t>
      </w:r>
    </w:p>
    <w:p w14:paraId="1EE2592E" w14:textId="77777777" w:rsidR="00CA2D12" w:rsidRDefault="00000000">
      <w:pPr>
        <w:spacing w:after="160" w:line="276" w:lineRule="auto"/>
        <w:jc w:val="both"/>
      </w:pPr>
      <w:r>
        <w:t>Ierosinātājs iesniegumu tehnisko noteikumu saņemšanai ir iesniedzis, lai noslēgtu ietekmes uz vidi sākotnējā izvērtējuma procedūru un lai izvērtējumā identificētās vides aizsardzības prasības kļūtu juridiski saistošas un pakļautas Dienesta kontrolei. Tas nemaina un nesaīsina turpmākās procedūras un neietekmē Domes kompetenci teritorijas attīstības plānošanas un būvniecības jautājumos.</w:t>
      </w:r>
    </w:p>
    <w:p w14:paraId="6C83FAF9" w14:textId="77777777" w:rsidR="00CA2D12" w:rsidRDefault="00000000">
      <w:pPr>
        <w:spacing w:after="160" w:line="276" w:lineRule="auto"/>
        <w:jc w:val="both"/>
      </w:pPr>
      <w:r>
        <w:t>Ierosinātājs ir gatavs sniegt Domei papildu informāciju, kā arī piedalīties Domes komiteju vai sēžu darbā, lai skaidrotu Paredzētās darbības virzību un atbildētu uz jautājumiem.</w:t>
      </w:r>
    </w:p>
    <w:p w14:paraId="237802D9" w14:textId="06A7E7FA" w:rsidR="00CA2D12" w:rsidRDefault="00CA2D12">
      <w:pPr>
        <w:spacing w:before="240"/>
      </w:pPr>
    </w:p>
    <w:sectPr w:rsidR="00CA2D12">
      <w:pgSz w:w="11906" w:h="16838"/>
      <w:pgMar w:top="1417" w:right="850" w:bottom="1133" w:left="17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70320F"/>
    <w:multiLevelType w:val="hybridMultilevel"/>
    <w:tmpl w:val="612E76A0"/>
    <w:lvl w:ilvl="0" w:tplc="7698402A">
      <w:start w:val="1"/>
      <w:numFmt w:val="bullet"/>
      <w:lvlText w:val="●"/>
      <w:lvlJc w:val="left"/>
      <w:pPr>
        <w:ind w:left="720" w:hanging="360"/>
      </w:pPr>
    </w:lvl>
    <w:lvl w:ilvl="1" w:tplc="D64A60DC">
      <w:start w:val="1"/>
      <w:numFmt w:val="bullet"/>
      <w:lvlText w:val="○"/>
      <w:lvlJc w:val="left"/>
      <w:pPr>
        <w:ind w:left="1440" w:hanging="360"/>
      </w:pPr>
    </w:lvl>
    <w:lvl w:ilvl="2" w:tplc="59F0B35A">
      <w:start w:val="1"/>
      <w:numFmt w:val="bullet"/>
      <w:lvlText w:val="■"/>
      <w:lvlJc w:val="left"/>
      <w:pPr>
        <w:ind w:left="2160" w:hanging="360"/>
      </w:pPr>
    </w:lvl>
    <w:lvl w:ilvl="3" w:tplc="077C6888">
      <w:start w:val="1"/>
      <w:numFmt w:val="bullet"/>
      <w:lvlText w:val="●"/>
      <w:lvlJc w:val="left"/>
      <w:pPr>
        <w:ind w:left="2880" w:hanging="360"/>
      </w:pPr>
    </w:lvl>
    <w:lvl w:ilvl="4" w:tplc="9184D8C4">
      <w:start w:val="1"/>
      <w:numFmt w:val="bullet"/>
      <w:lvlText w:val="○"/>
      <w:lvlJc w:val="left"/>
      <w:pPr>
        <w:ind w:left="3600" w:hanging="360"/>
      </w:pPr>
    </w:lvl>
    <w:lvl w:ilvl="5" w:tplc="59220214">
      <w:start w:val="1"/>
      <w:numFmt w:val="bullet"/>
      <w:lvlText w:val="■"/>
      <w:lvlJc w:val="left"/>
      <w:pPr>
        <w:ind w:left="4320" w:hanging="360"/>
      </w:pPr>
    </w:lvl>
    <w:lvl w:ilvl="6" w:tplc="008C6846">
      <w:start w:val="1"/>
      <w:numFmt w:val="bullet"/>
      <w:lvlText w:val="●"/>
      <w:lvlJc w:val="left"/>
      <w:pPr>
        <w:ind w:left="5040" w:hanging="360"/>
      </w:pPr>
    </w:lvl>
    <w:lvl w:ilvl="7" w:tplc="DDB60A70">
      <w:start w:val="1"/>
      <w:numFmt w:val="bullet"/>
      <w:lvlText w:val="●"/>
      <w:lvlJc w:val="left"/>
      <w:pPr>
        <w:ind w:left="5760" w:hanging="360"/>
      </w:pPr>
    </w:lvl>
    <w:lvl w:ilvl="8" w:tplc="E092D5D8">
      <w:start w:val="1"/>
      <w:numFmt w:val="bullet"/>
      <w:lvlText w:val="●"/>
      <w:lvlJc w:val="left"/>
      <w:pPr>
        <w:ind w:left="6480" w:hanging="360"/>
      </w:pPr>
    </w:lvl>
  </w:abstractNum>
  <w:abstractNum w:abstractNumId="1" w15:restartNumberingAfterBreak="0">
    <w:nsid w:val="2A122FBE"/>
    <w:multiLevelType w:val="hybridMultilevel"/>
    <w:tmpl w:val="A82C430A"/>
    <w:lvl w:ilvl="0" w:tplc="3E0CD6EC">
      <w:start w:val="1"/>
      <w:numFmt w:val="bullet"/>
      <w:lvlText w:val="–"/>
      <w:lvlJc w:val="left"/>
      <w:pPr>
        <w:ind w:left="720" w:hanging="360"/>
      </w:pPr>
      <w:rPr>
        <w:rFonts w:ascii="Times New Roman" w:eastAsia="Times New Roman" w:hAnsi="Times New Roman" w:cs="Times New Roman"/>
        <w:sz w:val="22"/>
        <w:szCs w:val="22"/>
      </w:rPr>
    </w:lvl>
    <w:lvl w:ilvl="1" w:tplc="B0FC4D7C">
      <w:numFmt w:val="decimal"/>
      <w:lvlText w:val=""/>
      <w:lvlJc w:val="left"/>
    </w:lvl>
    <w:lvl w:ilvl="2" w:tplc="1826EB02">
      <w:numFmt w:val="decimal"/>
      <w:lvlText w:val=""/>
      <w:lvlJc w:val="left"/>
    </w:lvl>
    <w:lvl w:ilvl="3" w:tplc="4CFA7F58">
      <w:numFmt w:val="decimal"/>
      <w:lvlText w:val=""/>
      <w:lvlJc w:val="left"/>
    </w:lvl>
    <w:lvl w:ilvl="4" w:tplc="FB347DA0">
      <w:numFmt w:val="decimal"/>
      <w:lvlText w:val=""/>
      <w:lvlJc w:val="left"/>
    </w:lvl>
    <w:lvl w:ilvl="5" w:tplc="CD12C01A">
      <w:numFmt w:val="decimal"/>
      <w:lvlText w:val=""/>
      <w:lvlJc w:val="left"/>
    </w:lvl>
    <w:lvl w:ilvl="6" w:tplc="3DF8B0A8">
      <w:numFmt w:val="decimal"/>
      <w:lvlText w:val=""/>
      <w:lvlJc w:val="left"/>
    </w:lvl>
    <w:lvl w:ilvl="7" w:tplc="971C8CA2">
      <w:numFmt w:val="decimal"/>
      <w:lvlText w:val=""/>
      <w:lvlJc w:val="left"/>
    </w:lvl>
    <w:lvl w:ilvl="8" w:tplc="AB987EBA">
      <w:numFmt w:val="decimal"/>
      <w:lvlText w:val=""/>
      <w:lvlJc w:val="left"/>
    </w:lvl>
  </w:abstractNum>
  <w:abstractNum w:abstractNumId="2" w15:restartNumberingAfterBreak="0">
    <w:nsid w:val="3194292C"/>
    <w:multiLevelType w:val="hybridMultilevel"/>
    <w:tmpl w:val="946C7030"/>
    <w:lvl w:ilvl="0" w:tplc="46442BE4">
      <w:start w:val="1"/>
      <w:numFmt w:val="decimal"/>
      <w:lvlText w:val="%1."/>
      <w:lvlJc w:val="left"/>
      <w:pPr>
        <w:ind w:left="640" w:hanging="360"/>
      </w:pPr>
      <w:rPr>
        <w:rFonts w:ascii="Times New Roman" w:eastAsia="Times New Roman" w:hAnsi="Times New Roman" w:cs="Times New Roman"/>
        <w:sz w:val="22"/>
        <w:szCs w:val="22"/>
      </w:rPr>
    </w:lvl>
    <w:lvl w:ilvl="1" w:tplc="11404192">
      <w:numFmt w:val="decimal"/>
      <w:lvlText w:val=""/>
      <w:lvlJc w:val="left"/>
    </w:lvl>
    <w:lvl w:ilvl="2" w:tplc="FF3EB376">
      <w:numFmt w:val="decimal"/>
      <w:lvlText w:val=""/>
      <w:lvlJc w:val="left"/>
    </w:lvl>
    <w:lvl w:ilvl="3" w:tplc="69545A90">
      <w:numFmt w:val="decimal"/>
      <w:lvlText w:val=""/>
      <w:lvlJc w:val="left"/>
    </w:lvl>
    <w:lvl w:ilvl="4" w:tplc="C3D8D20C">
      <w:numFmt w:val="decimal"/>
      <w:lvlText w:val=""/>
      <w:lvlJc w:val="left"/>
    </w:lvl>
    <w:lvl w:ilvl="5" w:tplc="AED6C272">
      <w:numFmt w:val="decimal"/>
      <w:lvlText w:val=""/>
      <w:lvlJc w:val="left"/>
    </w:lvl>
    <w:lvl w:ilvl="6" w:tplc="05B2CD04">
      <w:numFmt w:val="decimal"/>
      <w:lvlText w:val=""/>
      <w:lvlJc w:val="left"/>
    </w:lvl>
    <w:lvl w:ilvl="7" w:tplc="A7EED28E">
      <w:numFmt w:val="decimal"/>
      <w:lvlText w:val=""/>
      <w:lvlJc w:val="left"/>
    </w:lvl>
    <w:lvl w:ilvl="8" w:tplc="2048D9D2">
      <w:numFmt w:val="decimal"/>
      <w:lvlText w:val=""/>
      <w:lvlJc w:val="left"/>
    </w:lvl>
  </w:abstractNum>
  <w:num w:numId="1" w16cid:durableId="2052798104">
    <w:abstractNumId w:val="0"/>
    <w:lvlOverride w:ilvl="0">
      <w:startOverride w:val="1"/>
    </w:lvlOverride>
  </w:num>
  <w:num w:numId="2" w16cid:durableId="2030829926">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D12"/>
    <w:rsid w:val="00086523"/>
    <w:rsid w:val="00391D7B"/>
    <w:rsid w:val="00AF3C51"/>
    <w:rsid w:val="00CA2D12"/>
    <w:rsid w:val="00DD22DD"/>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decimalSymbol w:val=","/>
  <w:listSeparator w:val=","/>
  <w14:docId w14:val="0A689C98"/>
  <w15:docId w15:val="{BBD4ADC1-04D7-7F42-9428-0F1B22C39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en-LV"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1032</Words>
  <Characters>5884</Characters>
  <Application>Microsoft Office Word</Application>
  <DocSecurity>0</DocSecurity>
  <Lines>49</Lines>
  <Paragraphs>13</Paragraphs>
  <ScaleCrop>false</ScaleCrop>
  <Company/>
  <LinksUpToDate>false</LinksUpToDate>
  <CharactersWithSpaces>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Jānis Bokta</cp:lastModifiedBy>
  <cp:revision>3</cp:revision>
  <dcterms:created xsi:type="dcterms:W3CDTF">2026-09-22T10:35:00Z</dcterms:created>
  <dcterms:modified xsi:type="dcterms:W3CDTF">2026-09-22T10:36:00Z</dcterms:modified>
</cp:coreProperties>
</file>