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D2" w:rsidRPr="00FE5A59" w:rsidRDefault="00DF554D" w:rsidP="00ED2BBB">
      <w:pPr>
        <w:jc w:val="center"/>
        <w:rPr>
          <w:b/>
          <w:szCs w:val="24"/>
        </w:rPr>
      </w:pPr>
      <w:r w:rsidRPr="00FE5A59">
        <w:rPr>
          <w:b/>
          <w:szCs w:val="24"/>
        </w:rPr>
        <w:t>SAISTOŠIE NOTEIKUMI</w:t>
      </w:r>
    </w:p>
    <w:p w:rsidR="00DF554D" w:rsidRPr="00E10A9A" w:rsidRDefault="00E10A9A" w:rsidP="00ED2BBB">
      <w:pPr>
        <w:jc w:val="center"/>
        <w:rPr>
          <w:szCs w:val="24"/>
        </w:rPr>
      </w:pPr>
      <w:r w:rsidRPr="00E10A9A">
        <w:rPr>
          <w:szCs w:val="24"/>
        </w:rPr>
        <w:t>Limbažos</w:t>
      </w:r>
    </w:p>
    <w:p w:rsidR="00FE5A59" w:rsidRDefault="00FE5A59" w:rsidP="00DF554D">
      <w:pPr>
        <w:tabs>
          <w:tab w:val="left" w:pos="7152"/>
        </w:tabs>
        <w:rPr>
          <w:szCs w:val="24"/>
        </w:rPr>
      </w:pPr>
    </w:p>
    <w:p w:rsidR="00CD42D2" w:rsidRDefault="00DF554D" w:rsidP="00DF554D">
      <w:pPr>
        <w:tabs>
          <w:tab w:val="left" w:pos="7152"/>
        </w:tabs>
        <w:rPr>
          <w:szCs w:val="24"/>
        </w:rPr>
      </w:pPr>
      <w:r>
        <w:rPr>
          <w:szCs w:val="24"/>
        </w:rPr>
        <w:t xml:space="preserve">2020. gada </w:t>
      </w:r>
      <w:r w:rsidR="0087738F">
        <w:rPr>
          <w:szCs w:val="24"/>
        </w:rPr>
        <w:t>27</w:t>
      </w:r>
      <w:r>
        <w:rPr>
          <w:szCs w:val="24"/>
        </w:rPr>
        <w:t>. februārī</w:t>
      </w:r>
      <w:r>
        <w:rPr>
          <w:szCs w:val="24"/>
        </w:rPr>
        <w:tab/>
      </w:r>
      <w:r w:rsidR="00FE5A59">
        <w:rPr>
          <w:szCs w:val="24"/>
        </w:rPr>
        <w:tab/>
      </w:r>
      <w:r w:rsidR="00FE5A59">
        <w:rPr>
          <w:szCs w:val="24"/>
        </w:rPr>
        <w:tab/>
      </w:r>
      <w:r w:rsidR="00FE5A59">
        <w:rPr>
          <w:szCs w:val="24"/>
        </w:rPr>
        <w:tab/>
        <w:t xml:space="preserve">    </w:t>
      </w:r>
      <w:r w:rsidR="0087738F">
        <w:rPr>
          <w:szCs w:val="24"/>
        </w:rPr>
        <w:t xml:space="preserve">       </w:t>
      </w:r>
      <w:r w:rsidR="00FE5A59">
        <w:rPr>
          <w:szCs w:val="24"/>
        </w:rPr>
        <w:t xml:space="preserve"> </w:t>
      </w:r>
      <w:r>
        <w:rPr>
          <w:szCs w:val="24"/>
        </w:rPr>
        <w:t xml:space="preserve">Nr. </w:t>
      </w:r>
      <w:r w:rsidR="0087738F">
        <w:rPr>
          <w:szCs w:val="24"/>
        </w:rPr>
        <w:t>3</w:t>
      </w:r>
    </w:p>
    <w:p w:rsidR="001E4854" w:rsidRPr="00DF554D" w:rsidRDefault="001E4854" w:rsidP="00DF554D">
      <w:pPr>
        <w:tabs>
          <w:tab w:val="left" w:pos="7152"/>
        </w:tabs>
        <w:rPr>
          <w:szCs w:val="24"/>
        </w:rPr>
      </w:pPr>
    </w:p>
    <w:p w:rsidR="001E4854" w:rsidRPr="001E4854" w:rsidRDefault="001E4854" w:rsidP="001E4854">
      <w:pPr>
        <w:jc w:val="right"/>
        <w:rPr>
          <w:b/>
          <w:szCs w:val="24"/>
        </w:rPr>
      </w:pPr>
      <w:r w:rsidRPr="001E4854">
        <w:rPr>
          <w:b/>
          <w:szCs w:val="24"/>
        </w:rPr>
        <w:t>APSTIPRINĀTI</w:t>
      </w:r>
    </w:p>
    <w:p w:rsidR="001E4854" w:rsidRPr="001E4854" w:rsidRDefault="001E4854" w:rsidP="001E4854">
      <w:pPr>
        <w:jc w:val="right"/>
        <w:rPr>
          <w:szCs w:val="24"/>
        </w:rPr>
      </w:pPr>
      <w:r w:rsidRPr="001E4854">
        <w:rPr>
          <w:szCs w:val="24"/>
        </w:rPr>
        <w:t>ar Limbažu novada domes</w:t>
      </w:r>
    </w:p>
    <w:p w:rsidR="001E4854" w:rsidRPr="001E4854" w:rsidRDefault="00FE5A59" w:rsidP="001E4854">
      <w:pPr>
        <w:jc w:val="right"/>
        <w:rPr>
          <w:szCs w:val="24"/>
        </w:rPr>
      </w:pPr>
      <w:r>
        <w:rPr>
          <w:szCs w:val="24"/>
        </w:rPr>
        <w:t>27</w:t>
      </w:r>
      <w:r w:rsidR="001E4854">
        <w:rPr>
          <w:szCs w:val="24"/>
        </w:rPr>
        <w:t>.02.2020</w:t>
      </w:r>
      <w:r w:rsidR="001E4854" w:rsidRPr="001E4854">
        <w:rPr>
          <w:szCs w:val="24"/>
        </w:rPr>
        <w:t>.</w:t>
      </w:r>
      <w:r w:rsidR="001E4854">
        <w:rPr>
          <w:szCs w:val="24"/>
        </w:rPr>
        <w:t xml:space="preserve"> </w:t>
      </w:r>
      <w:r w:rsidR="001E4854" w:rsidRPr="001E4854">
        <w:rPr>
          <w:szCs w:val="24"/>
        </w:rPr>
        <w:t>sēdes</w:t>
      </w:r>
      <w:r w:rsidR="001E4854">
        <w:rPr>
          <w:szCs w:val="24"/>
        </w:rPr>
        <w:t xml:space="preserve"> lēmumu</w:t>
      </w:r>
    </w:p>
    <w:p w:rsidR="00DF554D" w:rsidRPr="001E4854" w:rsidRDefault="001E4854" w:rsidP="001E4854">
      <w:pPr>
        <w:jc w:val="right"/>
        <w:rPr>
          <w:szCs w:val="24"/>
        </w:rPr>
      </w:pPr>
      <w:r w:rsidRPr="001E4854">
        <w:rPr>
          <w:szCs w:val="24"/>
        </w:rPr>
        <w:t xml:space="preserve"> (protokols Nr.</w:t>
      </w:r>
      <w:r w:rsidR="00FE5A59">
        <w:rPr>
          <w:szCs w:val="24"/>
        </w:rPr>
        <w:t>6</w:t>
      </w:r>
      <w:r>
        <w:rPr>
          <w:szCs w:val="24"/>
        </w:rPr>
        <w:t xml:space="preserve">, </w:t>
      </w:r>
      <w:r w:rsidR="0087738F">
        <w:rPr>
          <w:szCs w:val="24"/>
        </w:rPr>
        <w:t>50</w:t>
      </w:r>
      <w:r w:rsidRPr="001E4854">
        <w:rPr>
          <w:szCs w:val="24"/>
        </w:rPr>
        <w:t>.§)</w:t>
      </w:r>
    </w:p>
    <w:p w:rsidR="00FB5331" w:rsidRDefault="00FB5331" w:rsidP="00FB5331">
      <w:pPr>
        <w:ind w:firstLine="567"/>
        <w:jc w:val="right"/>
        <w:rPr>
          <w:i/>
          <w:iCs/>
          <w:caps/>
          <w:szCs w:val="24"/>
        </w:rPr>
      </w:pPr>
    </w:p>
    <w:p w:rsidR="00FB5331" w:rsidRPr="00FB5331" w:rsidRDefault="00FB5331" w:rsidP="00FB5331">
      <w:pPr>
        <w:ind w:firstLine="567"/>
        <w:jc w:val="right"/>
        <w:rPr>
          <w:i/>
          <w:iCs/>
          <w:szCs w:val="24"/>
        </w:rPr>
      </w:pPr>
      <w:r w:rsidRPr="00FB5331">
        <w:rPr>
          <w:i/>
          <w:iCs/>
          <w:caps/>
          <w:szCs w:val="24"/>
        </w:rPr>
        <w:t xml:space="preserve">Grozījumi </w:t>
      </w:r>
      <w:r w:rsidRPr="00FB5331">
        <w:rPr>
          <w:i/>
          <w:iCs/>
          <w:szCs w:val="24"/>
        </w:rPr>
        <w:t xml:space="preserve">izdarīti ar </w:t>
      </w:r>
    </w:p>
    <w:p w:rsidR="00FB5331" w:rsidRPr="00FB5331" w:rsidRDefault="00FB5331" w:rsidP="00FB5331">
      <w:pPr>
        <w:ind w:firstLine="567"/>
        <w:jc w:val="right"/>
        <w:rPr>
          <w:szCs w:val="24"/>
        </w:rPr>
      </w:pPr>
      <w:r w:rsidRPr="00FB5331">
        <w:rPr>
          <w:i/>
          <w:iCs/>
          <w:szCs w:val="24"/>
        </w:rPr>
        <w:t xml:space="preserve">Limbažu novada </w:t>
      </w:r>
      <w:r>
        <w:rPr>
          <w:i/>
          <w:iCs/>
          <w:szCs w:val="24"/>
        </w:rPr>
        <w:t>pašvaldības</w:t>
      </w:r>
      <w:r w:rsidRPr="00FB5331">
        <w:rPr>
          <w:i/>
          <w:iCs/>
          <w:szCs w:val="24"/>
        </w:rPr>
        <w:t xml:space="preserve"> </w:t>
      </w:r>
      <w:r>
        <w:rPr>
          <w:i/>
          <w:iCs/>
          <w:szCs w:val="24"/>
        </w:rPr>
        <w:t>25</w:t>
      </w:r>
      <w:r w:rsidRPr="00FB5331">
        <w:rPr>
          <w:i/>
          <w:iCs/>
          <w:szCs w:val="24"/>
        </w:rPr>
        <w:t>.03.20</w:t>
      </w:r>
      <w:r>
        <w:rPr>
          <w:i/>
          <w:iCs/>
          <w:szCs w:val="24"/>
        </w:rPr>
        <w:t>21</w:t>
      </w:r>
      <w:r w:rsidRPr="00FB5331">
        <w:rPr>
          <w:i/>
          <w:iCs/>
          <w:szCs w:val="24"/>
        </w:rPr>
        <w:t>. saistošajiem noteikumiem Nr.</w:t>
      </w:r>
      <w:r>
        <w:rPr>
          <w:i/>
          <w:iCs/>
          <w:szCs w:val="24"/>
        </w:rPr>
        <w:t>5</w:t>
      </w:r>
    </w:p>
    <w:p w:rsidR="001E4854" w:rsidRDefault="001E4854" w:rsidP="00ED2BBB">
      <w:pPr>
        <w:jc w:val="center"/>
        <w:rPr>
          <w:b/>
          <w:sz w:val="28"/>
          <w:szCs w:val="28"/>
        </w:rPr>
      </w:pPr>
    </w:p>
    <w:p w:rsidR="00820C5D" w:rsidRPr="00A64099" w:rsidRDefault="00820C5D" w:rsidP="00ED2BBB">
      <w:pPr>
        <w:jc w:val="center"/>
        <w:rPr>
          <w:b/>
          <w:sz w:val="28"/>
          <w:szCs w:val="28"/>
        </w:rPr>
      </w:pPr>
      <w:r w:rsidRPr="00A64099">
        <w:rPr>
          <w:b/>
          <w:sz w:val="28"/>
          <w:szCs w:val="28"/>
        </w:rPr>
        <w:t xml:space="preserve">Par augstas detalizācijas topogrāfiskās informācijas aprites kārtību </w:t>
      </w:r>
      <w:r w:rsidR="00A64099" w:rsidRPr="00A64099">
        <w:rPr>
          <w:b/>
          <w:sz w:val="28"/>
          <w:szCs w:val="28"/>
        </w:rPr>
        <w:t>Limbažu</w:t>
      </w:r>
      <w:r w:rsidRPr="00A64099">
        <w:rPr>
          <w:b/>
          <w:sz w:val="28"/>
          <w:szCs w:val="28"/>
        </w:rPr>
        <w:t xml:space="preserve"> novadā</w:t>
      </w:r>
    </w:p>
    <w:p w:rsidR="00D762DD" w:rsidRPr="003B5A11" w:rsidRDefault="0045606B" w:rsidP="0045606B">
      <w:pPr>
        <w:jc w:val="right"/>
        <w:rPr>
          <w:i/>
          <w:sz w:val="22"/>
        </w:rPr>
      </w:pPr>
      <w:r w:rsidRPr="003B5A11">
        <w:rPr>
          <w:i/>
          <w:sz w:val="22"/>
        </w:rPr>
        <w:t xml:space="preserve">Izdoti saskaņā </w:t>
      </w:r>
    </w:p>
    <w:p w:rsidR="00D762DD" w:rsidRPr="003B5A11" w:rsidRDefault="0045606B" w:rsidP="0045606B">
      <w:pPr>
        <w:jc w:val="right"/>
        <w:rPr>
          <w:i/>
          <w:sz w:val="22"/>
        </w:rPr>
      </w:pPr>
      <w:r w:rsidRPr="003B5A11">
        <w:rPr>
          <w:i/>
          <w:sz w:val="22"/>
        </w:rPr>
        <w:t xml:space="preserve">ar likuma „Par pašvaldībām” </w:t>
      </w:r>
    </w:p>
    <w:p w:rsidR="0045606B" w:rsidRPr="003B5A11" w:rsidRDefault="00D762DD" w:rsidP="00D762DD">
      <w:pPr>
        <w:jc w:val="right"/>
        <w:rPr>
          <w:i/>
          <w:iCs/>
          <w:sz w:val="22"/>
        </w:rPr>
      </w:pPr>
      <w:r w:rsidRPr="003B5A11">
        <w:rPr>
          <w:i/>
          <w:iCs/>
          <w:sz w:val="22"/>
        </w:rPr>
        <w:t>43.</w:t>
      </w:r>
      <w:r w:rsidR="00FF77D2" w:rsidRPr="003B5A11">
        <w:rPr>
          <w:i/>
          <w:iCs/>
          <w:sz w:val="22"/>
        </w:rPr>
        <w:t xml:space="preserve"> </w:t>
      </w:r>
      <w:r w:rsidRPr="003B5A11">
        <w:rPr>
          <w:i/>
          <w:iCs/>
          <w:sz w:val="22"/>
        </w:rPr>
        <w:t>panta pirmās daļas 1</w:t>
      </w:r>
      <w:r w:rsidR="0045606B" w:rsidRPr="003B5A11">
        <w:rPr>
          <w:i/>
          <w:iCs/>
          <w:sz w:val="22"/>
        </w:rPr>
        <w:t>.</w:t>
      </w:r>
      <w:r w:rsidR="00FF77D2" w:rsidRPr="003B5A11">
        <w:rPr>
          <w:i/>
          <w:iCs/>
          <w:sz w:val="22"/>
        </w:rPr>
        <w:t xml:space="preserve"> </w:t>
      </w:r>
      <w:r w:rsidRPr="003B5A11">
        <w:rPr>
          <w:i/>
          <w:iCs/>
          <w:sz w:val="22"/>
        </w:rPr>
        <w:t>un 13.</w:t>
      </w:r>
      <w:r w:rsidR="00FF77D2" w:rsidRPr="003B5A11">
        <w:rPr>
          <w:i/>
          <w:iCs/>
          <w:sz w:val="22"/>
        </w:rPr>
        <w:t xml:space="preserve"> </w:t>
      </w:r>
      <w:r w:rsidRPr="003B5A11">
        <w:rPr>
          <w:i/>
          <w:iCs/>
          <w:sz w:val="22"/>
        </w:rPr>
        <w:t>punktu</w:t>
      </w:r>
    </w:p>
    <w:p w:rsidR="00D762DD" w:rsidRPr="003B5A11" w:rsidRDefault="00D762DD" w:rsidP="00FE5A59">
      <w:pPr>
        <w:pStyle w:val="Sarakstarindkopa"/>
        <w:ind w:left="1080"/>
        <w:jc w:val="right"/>
        <w:rPr>
          <w:i/>
          <w:sz w:val="22"/>
        </w:rPr>
      </w:pPr>
      <w:r w:rsidRPr="003B5A11">
        <w:rPr>
          <w:i/>
          <w:sz w:val="22"/>
        </w:rPr>
        <w:t>Ģeotelpiskās informācijas likuma</w:t>
      </w:r>
    </w:p>
    <w:p w:rsidR="0045606B" w:rsidRPr="003B5A11" w:rsidRDefault="00D762DD" w:rsidP="00DF554D">
      <w:pPr>
        <w:pStyle w:val="Sarakstarindkopa"/>
        <w:ind w:left="1080" w:hanging="371"/>
        <w:jc w:val="right"/>
        <w:rPr>
          <w:i/>
          <w:sz w:val="22"/>
        </w:rPr>
      </w:pPr>
      <w:r w:rsidRPr="003B5A11">
        <w:rPr>
          <w:i/>
          <w:sz w:val="22"/>
        </w:rPr>
        <w:t>13.</w:t>
      </w:r>
      <w:r w:rsidR="00FF77D2" w:rsidRPr="003B5A11">
        <w:rPr>
          <w:i/>
          <w:sz w:val="22"/>
        </w:rPr>
        <w:t xml:space="preserve"> </w:t>
      </w:r>
      <w:r w:rsidRPr="003B5A11">
        <w:rPr>
          <w:i/>
          <w:sz w:val="22"/>
        </w:rPr>
        <w:t>panta sesto daļu un 26.</w:t>
      </w:r>
      <w:r w:rsidR="00FF77D2" w:rsidRPr="003B5A11">
        <w:rPr>
          <w:i/>
          <w:sz w:val="22"/>
        </w:rPr>
        <w:t xml:space="preserve"> </w:t>
      </w:r>
      <w:r w:rsidRPr="003B5A11">
        <w:rPr>
          <w:i/>
          <w:sz w:val="22"/>
        </w:rPr>
        <w:t>panta trešo daļu</w:t>
      </w:r>
      <w:r w:rsidR="005778BC" w:rsidRPr="003B5A11">
        <w:rPr>
          <w:i/>
          <w:sz w:val="22"/>
        </w:rPr>
        <w:t>,</w:t>
      </w:r>
    </w:p>
    <w:p w:rsidR="005778BC" w:rsidRPr="003B5A11" w:rsidRDefault="005778BC" w:rsidP="005778BC">
      <w:pPr>
        <w:pStyle w:val="Sarakstarindkopa"/>
        <w:ind w:left="1080"/>
        <w:jc w:val="right"/>
        <w:rPr>
          <w:i/>
          <w:sz w:val="22"/>
        </w:rPr>
      </w:pPr>
      <w:r w:rsidRPr="003B5A11">
        <w:rPr>
          <w:i/>
          <w:sz w:val="22"/>
        </w:rPr>
        <w:t>Ministru kabineta 2012.</w:t>
      </w:r>
      <w:r w:rsidR="00DF554D" w:rsidRPr="003B5A11">
        <w:rPr>
          <w:i/>
          <w:sz w:val="22"/>
        </w:rPr>
        <w:t xml:space="preserve"> </w:t>
      </w:r>
      <w:r w:rsidRPr="003B5A11">
        <w:rPr>
          <w:i/>
          <w:sz w:val="22"/>
        </w:rPr>
        <w:t>gada 24.</w:t>
      </w:r>
      <w:r w:rsidR="00DF554D" w:rsidRPr="003B5A11">
        <w:rPr>
          <w:i/>
          <w:sz w:val="22"/>
        </w:rPr>
        <w:t xml:space="preserve"> </w:t>
      </w:r>
      <w:r w:rsidRPr="003B5A11">
        <w:rPr>
          <w:i/>
          <w:sz w:val="22"/>
        </w:rPr>
        <w:t>aprīļa noteikumu Nr.</w:t>
      </w:r>
      <w:r w:rsidR="00DF554D" w:rsidRPr="003B5A11">
        <w:rPr>
          <w:i/>
          <w:sz w:val="22"/>
        </w:rPr>
        <w:t xml:space="preserve"> </w:t>
      </w:r>
      <w:r w:rsidRPr="003B5A11">
        <w:rPr>
          <w:i/>
          <w:sz w:val="22"/>
        </w:rPr>
        <w:t>281</w:t>
      </w:r>
    </w:p>
    <w:p w:rsidR="005778BC" w:rsidRPr="003B5A11" w:rsidRDefault="00DF554D" w:rsidP="005778BC">
      <w:pPr>
        <w:pStyle w:val="Sarakstarindkopa"/>
        <w:ind w:left="1080"/>
        <w:jc w:val="right"/>
        <w:rPr>
          <w:i/>
          <w:sz w:val="22"/>
        </w:rPr>
      </w:pPr>
      <w:r w:rsidRPr="003B5A11">
        <w:rPr>
          <w:i/>
          <w:sz w:val="22"/>
        </w:rPr>
        <w:t>,,</w:t>
      </w:r>
      <w:r w:rsidR="005778BC" w:rsidRPr="003B5A11">
        <w:rPr>
          <w:i/>
          <w:sz w:val="22"/>
        </w:rPr>
        <w:t>Augstas detalizācijas topogrāfiskās informācijas</w:t>
      </w:r>
    </w:p>
    <w:p w:rsidR="005778BC" w:rsidRPr="003B5A11" w:rsidRDefault="005778BC" w:rsidP="005778BC">
      <w:pPr>
        <w:pStyle w:val="Sarakstarindkopa"/>
        <w:ind w:left="1080"/>
        <w:jc w:val="right"/>
        <w:rPr>
          <w:i/>
          <w:sz w:val="22"/>
        </w:rPr>
      </w:pPr>
      <w:r w:rsidRPr="003B5A11">
        <w:rPr>
          <w:i/>
          <w:sz w:val="22"/>
        </w:rPr>
        <w:t xml:space="preserve"> un tās centrālās datu bāzes noteikumu” 69. un 79.</w:t>
      </w:r>
      <w:r w:rsidR="00DF554D" w:rsidRPr="003B5A11">
        <w:rPr>
          <w:i/>
          <w:sz w:val="22"/>
        </w:rPr>
        <w:t xml:space="preserve"> </w:t>
      </w:r>
      <w:r w:rsidRPr="003B5A11">
        <w:rPr>
          <w:i/>
          <w:sz w:val="22"/>
        </w:rPr>
        <w:t>punktu</w:t>
      </w:r>
    </w:p>
    <w:p w:rsidR="007E4FD5" w:rsidRDefault="007E4FD5" w:rsidP="0045606B"/>
    <w:p w:rsidR="007E4FD5" w:rsidRDefault="00AA6A0C" w:rsidP="00FE5A59">
      <w:pPr>
        <w:pStyle w:val="Sarakstarindkopa"/>
        <w:numPr>
          <w:ilvl w:val="0"/>
          <w:numId w:val="9"/>
        </w:numPr>
        <w:ind w:left="357" w:hanging="357"/>
        <w:jc w:val="both"/>
      </w:pPr>
      <w:r>
        <w:t>S</w:t>
      </w:r>
      <w:r w:rsidR="007E4FD5" w:rsidRPr="00B64B1B">
        <w:t xml:space="preserve">aistošie noteikumi nosaka kārtību, kādā Limbažu novada administratīvajā teritorijā notiek augstas detalizācijas topogrāfiskās informācijas (turpmāk </w:t>
      </w:r>
      <w:r w:rsidR="005E1E56" w:rsidRPr="004A4B87">
        <w:t>–</w:t>
      </w:r>
      <w:r w:rsidR="007E4FD5" w:rsidRPr="00B64B1B">
        <w:t xml:space="preserve"> ADTI) </w:t>
      </w:r>
      <w:r w:rsidR="00474954">
        <w:t>pārbaude, reģistrācija datu bāzē, sagatavošana un izsniegšana</w:t>
      </w:r>
      <w:r w:rsidR="007E4FD5" w:rsidRPr="00B64B1B">
        <w:t>. Šie noteikumi attiecas arī uz detālplānojumu uz zemes ierīcības projektu  grafiskajām daļām.</w:t>
      </w:r>
    </w:p>
    <w:p w:rsidR="007D0F72" w:rsidRPr="004A4B87" w:rsidRDefault="00DF554D" w:rsidP="00FE5A59">
      <w:pPr>
        <w:pStyle w:val="Sarakstarindkopa"/>
        <w:numPr>
          <w:ilvl w:val="0"/>
          <w:numId w:val="9"/>
        </w:numPr>
        <w:ind w:left="357" w:hanging="357"/>
        <w:jc w:val="both"/>
      </w:pPr>
      <w:r>
        <w:t>Saistošie n</w:t>
      </w:r>
      <w:r w:rsidR="007D0F72" w:rsidRPr="004A4B87">
        <w:t>oteikumi ir obligāti visām fizisk</w:t>
      </w:r>
      <w:r>
        <w:t>aj</w:t>
      </w:r>
      <w:r w:rsidR="007D0F72" w:rsidRPr="004A4B87">
        <w:t>ām un juridisk</w:t>
      </w:r>
      <w:r>
        <w:t>aj</w:t>
      </w:r>
      <w:r w:rsidR="007D0F72" w:rsidRPr="004A4B87">
        <w:t xml:space="preserve">ām personām, </w:t>
      </w:r>
      <w:r w:rsidR="006D0E73" w:rsidRPr="004A4B87">
        <w:t>k</w:t>
      </w:r>
      <w:r w:rsidR="007D0F72" w:rsidRPr="004A4B87">
        <w:t xml:space="preserve">as Limbažu novada administratīvajā teritorijā veic topogrāfiskos un ģeodēziskos darbus, izstrādā detālplānojumus, zemes ierīcības projektus, kā arī veic </w:t>
      </w:r>
      <w:r w:rsidR="0026272B" w:rsidRPr="004A4B87">
        <w:t xml:space="preserve">inženierkomunikāciju, </w:t>
      </w:r>
      <w:r w:rsidR="007D0F72" w:rsidRPr="004A4B87">
        <w:t>būvju</w:t>
      </w:r>
      <w:r w:rsidR="0026272B" w:rsidRPr="004A4B87">
        <w:t xml:space="preserve"> un ceļu inženierbūvju</w:t>
      </w:r>
      <w:r w:rsidR="007D0F72" w:rsidRPr="004A4B87">
        <w:t xml:space="preserve"> projektēšanu un būvniecību.</w:t>
      </w:r>
    </w:p>
    <w:p w:rsidR="0045606B" w:rsidRPr="004A4B87" w:rsidRDefault="00DF554D" w:rsidP="00FE5A59">
      <w:pPr>
        <w:pStyle w:val="Sarakstarindkopa"/>
        <w:numPr>
          <w:ilvl w:val="0"/>
          <w:numId w:val="9"/>
        </w:numPr>
        <w:ind w:left="357" w:hanging="357"/>
        <w:jc w:val="both"/>
      </w:pPr>
      <w:r>
        <w:t>Limbažu n</w:t>
      </w:r>
      <w:r w:rsidR="0045606B" w:rsidRPr="004A4B87">
        <w:t xml:space="preserve">ovada administratīvajā teritorijā </w:t>
      </w:r>
      <w:r w:rsidR="007D0F72" w:rsidRPr="004A4B87">
        <w:t>ADTI</w:t>
      </w:r>
      <w:r w:rsidR="003D403C" w:rsidRPr="004A4B87">
        <w:t xml:space="preserve"> pieņemšanu, </w:t>
      </w:r>
      <w:r w:rsidR="0045606B" w:rsidRPr="004A4B87">
        <w:t>pārbaudi</w:t>
      </w:r>
      <w:r w:rsidR="003D403C" w:rsidRPr="004A4B87">
        <w:t xml:space="preserve"> un uzkrāšanu</w:t>
      </w:r>
      <w:r>
        <w:t>,</w:t>
      </w:r>
      <w:r w:rsidR="003D403C" w:rsidRPr="004A4B87">
        <w:t xml:space="preserve"> </w:t>
      </w:r>
      <w:r w:rsidR="0045606B" w:rsidRPr="004A4B87">
        <w:t xml:space="preserve">kā arī mērniecībai nepieciešamo datu izsniegšanu realizē un koordinē </w:t>
      </w:r>
      <w:r w:rsidR="007D0F72" w:rsidRPr="004A4B87">
        <w:t>Limbažu</w:t>
      </w:r>
      <w:r w:rsidR="0045606B" w:rsidRPr="004A4B87">
        <w:t xml:space="preserve"> novada pašvaldības izvēlēta juridiska persona</w:t>
      </w:r>
      <w:r w:rsidR="00184995" w:rsidRPr="004A4B87">
        <w:t xml:space="preserve"> (turpmāk – Datubāzes turētājs)</w:t>
      </w:r>
      <w:r w:rsidR="0045606B" w:rsidRPr="004A4B87">
        <w:t>, kurai ir tiesības par pakalpojumiem</w:t>
      </w:r>
      <w:r>
        <w:t xml:space="preserve"> pret trešajām personām</w:t>
      </w:r>
      <w:r w:rsidR="0045606B" w:rsidRPr="004A4B87">
        <w:t xml:space="preserve"> saņemt samaksu</w:t>
      </w:r>
      <w:r>
        <w:t xml:space="preserve">. </w:t>
      </w:r>
      <w:r w:rsidR="00E10A9A">
        <w:t xml:space="preserve">Maksa par datu, kuri satur augstas detalizācijas topogrāfisko informāciju, pārbaudi, reģistrāciju </w:t>
      </w:r>
      <w:r w:rsidR="002F7AF3" w:rsidRPr="005E25CA">
        <w:t>au</w:t>
      </w:r>
      <w:r w:rsidR="002F7AF3">
        <w:t>gstas detalizācijas topogrāfiskās informācijas</w:t>
      </w:r>
      <w:r w:rsidR="002F7AF3" w:rsidRPr="005E25CA">
        <w:t xml:space="preserve"> par </w:t>
      </w:r>
      <w:r w:rsidR="002F7AF3">
        <w:t xml:space="preserve">Limbažu novada </w:t>
      </w:r>
      <w:r w:rsidR="002F7AF3" w:rsidRPr="005E25CA">
        <w:t>administratīvo teritoriju</w:t>
      </w:r>
      <w:r w:rsidR="002F7AF3">
        <w:t xml:space="preserve"> datubāzē (turpmāk –</w:t>
      </w:r>
      <w:r w:rsidR="002F7AF3" w:rsidRPr="005E25CA">
        <w:t xml:space="preserve"> </w:t>
      </w:r>
      <w:r w:rsidR="00E10A9A">
        <w:t>Lim</w:t>
      </w:r>
      <w:r w:rsidR="002F7AF3">
        <w:t>bažu novada pašvaldības datubāze)</w:t>
      </w:r>
      <w:r w:rsidR="00E10A9A">
        <w:t xml:space="preserve">, sagatavošanu un izsniegšanu no </w:t>
      </w:r>
      <w:r w:rsidR="002F7AF3">
        <w:t>minētās</w:t>
      </w:r>
      <w:r w:rsidR="00E10A9A">
        <w:t xml:space="preserve"> datubāzes ir noteikta saistošo noteikumu pielikumā</w:t>
      </w:r>
      <w:r w:rsidR="007D0F72" w:rsidRPr="004A4B87">
        <w:t>.</w:t>
      </w:r>
    </w:p>
    <w:p w:rsidR="00AE59C7" w:rsidRPr="004A4B87" w:rsidRDefault="00184995" w:rsidP="00FE5A59">
      <w:pPr>
        <w:pStyle w:val="Sarakstarindkopa"/>
        <w:numPr>
          <w:ilvl w:val="0"/>
          <w:numId w:val="9"/>
        </w:numPr>
        <w:ind w:left="357" w:hanging="357"/>
        <w:jc w:val="both"/>
      </w:pPr>
      <w:r w:rsidRPr="004A4B87">
        <w:lastRenderedPageBreak/>
        <w:t>Datubāzes turētājs</w:t>
      </w:r>
      <w:r w:rsidR="00AE59C7" w:rsidRPr="004A4B87">
        <w:t xml:space="preserve">, pieņem tikai mērniecībā </w:t>
      </w:r>
      <w:r w:rsidRPr="004A4B87">
        <w:t xml:space="preserve">licencētu vai </w:t>
      </w:r>
      <w:r w:rsidR="00AE59C7" w:rsidRPr="004A4B87">
        <w:t xml:space="preserve">sertificētu personu, topogrāfiskos vai ģeodēziskos uzmērījumus, tai skaitā izpilduzmērījumus un </w:t>
      </w:r>
      <w:r w:rsidRPr="004A4B87">
        <w:t>izpildshēmas</w:t>
      </w:r>
      <w:r w:rsidR="00AE59C7" w:rsidRPr="004A4B87">
        <w:t>, kas sagata</w:t>
      </w:r>
      <w:r w:rsidR="00C320D5">
        <w:t>voti digitālā formā (*dgn, *dwg</w:t>
      </w:r>
      <w:r w:rsidR="00AE59C7" w:rsidRPr="004A4B87">
        <w:t xml:space="preserve"> formātā), LKS 92 koordinātu</w:t>
      </w:r>
      <w:r w:rsidRPr="004A4B87">
        <w:t xml:space="preserve"> </w:t>
      </w:r>
      <w:r w:rsidRPr="00B33D70">
        <w:t xml:space="preserve">sistēmā un </w:t>
      </w:r>
      <w:r w:rsidR="00B33D70" w:rsidRPr="00B33D70">
        <w:t xml:space="preserve">Latvijas normālo augstumu sistēmā </w:t>
      </w:r>
      <w:r w:rsidRPr="00B33D70">
        <w:t>LAS</w:t>
      </w:r>
      <w:r w:rsidR="00B33D70" w:rsidRPr="00B33D70">
        <w:t>-</w:t>
      </w:r>
      <w:r w:rsidRPr="00B33D70">
        <w:t>2000,5</w:t>
      </w:r>
      <w:r w:rsidR="00AE59C7" w:rsidRPr="00B33D70">
        <w:t>.</w:t>
      </w:r>
      <w:r w:rsidR="00AE59C7" w:rsidRPr="004A4B87">
        <w:t xml:space="preserve"> Izpildshēmās punktiem jābūt piesaistītiem pie vismaz 3</w:t>
      </w:r>
      <w:r w:rsidR="00C320D5">
        <w:t xml:space="preserve"> (trīs) </w:t>
      </w:r>
      <w:r w:rsidR="00AE59C7" w:rsidRPr="004A4B87">
        <w:t>viennozīmīgi identificējamiem</w:t>
      </w:r>
      <w:r w:rsidR="009E20BE">
        <w:t xml:space="preserve"> koordinētiem punktiem, kas uzrā</w:t>
      </w:r>
      <w:r w:rsidR="00AE59C7" w:rsidRPr="004A4B87">
        <w:t>dīti digitālajā topogrāfijā vai kadastra kartē.</w:t>
      </w:r>
    </w:p>
    <w:p w:rsidR="007E4FD5" w:rsidRPr="00025603" w:rsidRDefault="00025603" w:rsidP="00FE5A59">
      <w:pPr>
        <w:pStyle w:val="Sarakstarindkopa"/>
        <w:numPr>
          <w:ilvl w:val="0"/>
          <w:numId w:val="9"/>
        </w:numPr>
        <w:ind w:left="357" w:hanging="357"/>
        <w:jc w:val="both"/>
      </w:pPr>
      <w:r w:rsidRPr="00025603">
        <w:t>Ja Datubāzes turētājs mērniecības darbu veicējiem nav sniedzis informāciju par v</w:t>
      </w:r>
      <w:r w:rsidR="007E4FD5" w:rsidRPr="00025603">
        <w:t xml:space="preserve">ietējo ģeodēzisko tīklu </w:t>
      </w:r>
      <w:r w:rsidRPr="00025603">
        <w:t>punktiem, tad to izsniedz</w:t>
      </w:r>
      <w:r w:rsidR="00BA587C">
        <w:t xml:space="preserve"> un saskaņo</w:t>
      </w:r>
      <w:r w:rsidRPr="00025603">
        <w:t xml:space="preserve"> Limbažu novada pašvaldības Nekustamā īpašuma un teritoriālā plānojuma nodaļa</w:t>
      </w:r>
      <w:r w:rsidR="00666414">
        <w:t xml:space="preserve">s teritorijas plānotājs </w:t>
      </w:r>
      <w:r w:rsidR="00666414" w:rsidRPr="004A4B87">
        <w:t>–</w:t>
      </w:r>
      <w:r w:rsidR="00666414">
        <w:t xml:space="preserve"> kartogrāfs</w:t>
      </w:r>
      <w:r w:rsidRPr="00025603">
        <w:t>.</w:t>
      </w:r>
    </w:p>
    <w:p w:rsidR="007E4FD5" w:rsidRPr="00025603" w:rsidRDefault="007E4FD5" w:rsidP="00FE5A59">
      <w:pPr>
        <w:pStyle w:val="Sarakstarindkopa"/>
        <w:numPr>
          <w:ilvl w:val="0"/>
          <w:numId w:val="9"/>
        </w:numPr>
        <w:ind w:left="357" w:hanging="357"/>
        <w:jc w:val="both"/>
      </w:pPr>
      <w:r w:rsidRPr="00025603">
        <w:t xml:space="preserve">Ģeodēzisko darbu veicējiem </w:t>
      </w:r>
      <w:r w:rsidR="00025603" w:rsidRPr="00025603">
        <w:t xml:space="preserve">topogrāfiskajā </w:t>
      </w:r>
      <w:r w:rsidRPr="00025603">
        <w:t xml:space="preserve">plānā jāattēlo visi uzmērāmajā teritorijā esošie </w:t>
      </w:r>
      <w:r w:rsidR="00025603" w:rsidRPr="00025603">
        <w:t xml:space="preserve">valsts un vietējā </w:t>
      </w:r>
      <w:r w:rsidRPr="00025603">
        <w:t>ģeodēzisk</w:t>
      </w:r>
      <w:r w:rsidR="007F7C60">
        <w:t>ā tīkla</w:t>
      </w:r>
      <w:r w:rsidRPr="00025603">
        <w:t xml:space="preserve"> punkti</w:t>
      </w:r>
      <w:r w:rsidR="00025603" w:rsidRPr="00025603">
        <w:t>.</w:t>
      </w:r>
    </w:p>
    <w:p w:rsidR="007E4FD5" w:rsidRDefault="007E4FD5" w:rsidP="00FE5A59">
      <w:pPr>
        <w:pStyle w:val="Sarakstarindkopa"/>
        <w:numPr>
          <w:ilvl w:val="0"/>
          <w:numId w:val="9"/>
        </w:numPr>
        <w:ind w:left="357" w:hanging="357"/>
        <w:jc w:val="both"/>
      </w:pPr>
      <w:r w:rsidRPr="00EF7875">
        <w:t>Informāciju, kas nepieciešama mērniecības darbu veikšanai,</w:t>
      </w:r>
      <w:r>
        <w:t xml:space="preserve"> </w:t>
      </w:r>
      <w:r w:rsidR="00BF0168">
        <w:t>Datubāzes turētājs</w:t>
      </w:r>
      <w:r w:rsidR="007D0943">
        <w:t xml:space="preserve"> autorizētiem lietotājiem </w:t>
      </w:r>
      <w:r w:rsidR="007D0943" w:rsidRPr="00EF7875">
        <w:t>sniedz</w:t>
      </w:r>
      <w:r w:rsidR="007D0943">
        <w:t xml:space="preserve"> bez maksas interneta vietnē</w:t>
      </w:r>
      <w:r w:rsidR="00C64DB5">
        <w:t xml:space="preserve"> tiešsaistē</w:t>
      </w:r>
      <w:r w:rsidR="007D0943">
        <w:t>.</w:t>
      </w:r>
    </w:p>
    <w:p w:rsidR="007E4FD5" w:rsidRDefault="007E4FD5" w:rsidP="00FE5A59">
      <w:pPr>
        <w:pStyle w:val="Sarakstarindkopa"/>
        <w:numPr>
          <w:ilvl w:val="0"/>
          <w:numId w:val="9"/>
        </w:numPr>
        <w:ind w:left="357" w:hanging="357"/>
        <w:jc w:val="both"/>
      </w:pPr>
      <w:r w:rsidRPr="00EF7875">
        <w:t>Uzmērītā topogrāfiskā informācija un ģeodēziskie uzmērījumi iesniedzami</w:t>
      </w:r>
      <w:r>
        <w:t xml:space="preserve"> </w:t>
      </w:r>
      <w:r w:rsidRPr="00EF7875">
        <w:t xml:space="preserve">pārbaudei  </w:t>
      </w:r>
      <w:r w:rsidR="00BF0168">
        <w:t>Datubāzes turētājam</w:t>
      </w:r>
      <w:r w:rsidRPr="00EF7875">
        <w:t>,</w:t>
      </w:r>
      <w:r>
        <w:t xml:space="preserve"> </w:t>
      </w:r>
      <w:r w:rsidRPr="00EF7875">
        <w:t xml:space="preserve">kas to saskaņo </w:t>
      </w:r>
      <w:r w:rsidR="009E20BE">
        <w:t>2 (</w:t>
      </w:r>
      <w:r w:rsidRPr="00EF7875">
        <w:t>divu</w:t>
      </w:r>
      <w:r w:rsidR="009E20BE">
        <w:t>)</w:t>
      </w:r>
      <w:r w:rsidRPr="00EF7875">
        <w:t xml:space="preserve"> darba dienu laikā</w:t>
      </w:r>
      <w:r w:rsidR="009E20BE">
        <w:t>, ievērojot</w:t>
      </w:r>
      <w:r w:rsidRPr="00EF7875">
        <w:t xml:space="preserve"> </w:t>
      </w:r>
      <w:r w:rsidR="009E20BE">
        <w:t>nosacījumu</w:t>
      </w:r>
      <w:r w:rsidRPr="00EF7875">
        <w:t xml:space="preserve">, ka iesniegtie  uzmērījumi atbilst reālai situācijai un valstī noteiktajiem standartiem. Limbažu novada pašvaldības institūcijas, tai skaitā </w:t>
      </w:r>
      <w:r w:rsidR="009E20BE">
        <w:t>Limbažu novada pašvaldības B</w:t>
      </w:r>
      <w:r w:rsidRPr="00EF7875">
        <w:t>ūvvalde atzīst par atbilstošu (lietošanai derīgu) tikai šādā veidā saskaņotu topogrāfisko informāciju.</w:t>
      </w:r>
    </w:p>
    <w:p w:rsidR="007E4FD5" w:rsidRDefault="007E4FD5" w:rsidP="00FE5A59">
      <w:pPr>
        <w:pStyle w:val="Sarakstarindkopa"/>
        <w:numPr>
          <w:ilvl w:val="0"/>
          <w:numId w:val="9"/>
        </w:numPr>
        <w:ind w:left="357" w:hanging="357"/>
        <w:jc w:val="both"/>
      </w:pPr>
      <w:r>
        <w:t xml:space="preserve">Ja iesniegtajā topogrāfiskajā informācijā tiek konstatētas būtiskas atšķirības no ADTI datubāzē reģistrētajiem datiem, tad </w:t>
      </w:r>
      <w:r w:rsidR="00230342">
        <w:t xml:space="preserve">Datubāzes turētājam </w:t>
      </w:r>
      <w:r>
        <w:t>ir tiesības pieprasīt no topogrāfisko darbu veicēja iesniegt uzmērīšanas lietu un lauka mērījumu datu izdrukas, lai pārliecinātos par mērījumu ticamību.</w:t>
      </w:r>
    </w:p>
    <w:p w:rsidR="00A61376" w:rsidRDefault="00A61376" w:rsidP="00FE5A59">
      <w:pPr>
        <w:pStyle w:val="Sarakstarindkopa"/>
        <w:numPr>
          <w:ilvl w:val="0"/>
          <w:numId w:val="9"/>
        </w:numPr>
        <w:ind w:left="357" w:hanging="357"/>
        <w:jc w:val="both"/>
      </w:pPr>
      <w:r>
        <w:t xml:space="preserve">Pirms topogrāfiskā plāna iesniegšanas pārbaudei un reģistrācijai </w:t>
      </w:r>
      <w:r w:rsidR="00664821" w:rsidRPr="00664821">
        <w:t xml:space="preserve">ADTI </w:t>
      </w:r>
      <w:r w:rsidRPr="00664821">
        <w:t>datubāzē</w:t>
      </w:r>
      <w:r>
        <w:t xml:space="preserve"> </w:t>
      </w:r>
      <w:r w:rsidR="009E20BE">
        <w:t>t</w:t>
      </w:r>
      <w:r w:rsidR="006C0770">
        <w:t xml:space="preserve">o </w:t>
      </w:r>
      <w:r>
        <w:t>saskaņo ar šādiem inženierkomunikāciju turētājiem:</w:t>
      </w:r>
    </w:p>
    <w:p w:rsidR="00A61376" w:rsidRDefault="00A61376" w:rsidP="00FE5A59">
      <w:pPr>
        <w:pStyle w:val="Sarakstarindkopa"/>
        <w:ind w:left="924" w:hanging="567"/>
        <w:jc w:val="both"/>
      </w:pPr>
      <w:r>
        <w:t>10.1. SIA “Tet”;</w:t>
      </w:r>
    </w:p>
    <w:p w:rsidR="00A61376" w:rsidRDefault="00A61376" w:rsidP="00FE5A59">
      <w:pPr>
        <w:pStyle w:val="Sarakstarindkopa"/>
        <w:ind w:left="924" w:hanging="567"/>
        <w:jc w:val="both"/>
      </w:pPr>
      <w:r>
        <w:t>10.2. AS “Sadales tīkls”;</w:t>
      </w:r>
    </w:p>
    <w:p w:rsidR="00025603" w:rsidRDefault="00025603" w:rsidP="00FE5A59">
      <w:pPr>
        <w:ind w:left="924" w:hanging="567"/>
        <w:jc w:val="both"/>
      </w:pPr>
      <w:r>
        <w:t xml:space="preserve">10.3. </w:t>
      </w:r>
      <w:r w:rsidR="001902F0">
        <w:t xml:space="preserve">Limbažu pilsētas sabiedrība ar ierobežotu atbildību </w:t>
      </w:r>
      <w:r>
        <w:t>“Limbažu komunālserviss”;</w:t>
      </w:r>
    </w:p>
    <w:p w:rsidR="00025603" w:rsidRDefault="00850BFE" w:rsidP="00FE5A59">
      <w:pPr>
        <w:pStyle w:val="Sarakstarindkopa"/>
        <w:ind w:left="924" w:hanging="567"/>
        <w:jc w:val="both"/>
      </w:pPr>
      <w:r>
        <w:t>1</w:t>
      </w:r>
      <w:r w:rsidR="00025603">
        <w:t>0.4. SIA “Limbažu siltums”;</w:t>
      </w:r>
    </w:p>
    <w:p w:rsidR="005E3737" w:rsidRDefault="005E3737" w:rsidP="00FE5A59">
      <w:pPr>
        <w:pStyle w:val="Sarakstarindkopa"/>
        <w:ind w:left="924" w:hanging="567"/>
        <w:jc w:val="both"/>
      </w:pPr>
      <w:r>
        <w:t xml:space="preserve">10.5. VSIA </w:t>
      </w:r>
      <w:r w:rsidR="009E20BE">
        <w:t>“Z</w:t>
      </w:r>
      <w:r>
        <w:t>emkopības ministrijas nekustamie īpašumi</w:t>
      </w:r>
      <w:r w:rsidR="009E20BE">
        <w:t>”</w:t>
      </w:r>
      <w:r>
        <w:t xml:space="preserve"> Vidzemes reģiona meliorācijas nodaļ</w:t>
      </w:r>
      <w:r w:rsidR="009E20BE">
        <w:t>a</w:t>
      </w:r>
      <w:r>
        <w:t>;</w:t>
      </w:r>
    </w:p>
    <w:p w:rsidR="005E3737" w:rsidRDefault="005E3737" w:rsidP="00FE5A59">
      <w:pPr>
        <w:pStyle w:val="Sarakstarindkopa"/>
        <w:ind w:left="924" w:hanging="567"/>
        <w:jc w:val="both"/>
      </w:pPr>
      <w:r>
        <w:t>10.6.</w:t>
      </w:r>
      <w:r w:rsidR="00FE5A59">
        <w:t xml:space="preserve"> </w:t>
      </w:r>
      <w:r>
        <w:t>VAS “Latvijas valsts radio un televīzijas centrs”;</w:t>
      </w:r>
    </w:p>
    <w:p w:rsidR="005E3737" w:rsidRDefault="009E20BE" w:rsidP="00FE5A59">
      <w:pPr>
        <w:pStyle w:val="Sarakstarindkopa"/>
        <w:ind w:left="924" w:hanging="567"/>
        <w:jc w:val="both"/>
      </w:pPr>
      <w:r>
        <w:t xml:space="preserve">10.7. </w:t>
      </w:r>
      <w:r w:rsidR="006C0770">
        <w:t>Limbažu pilsētas apgaismes un lietus kanalizācijas inženiertīklus saskaņo Limbažu pilsētas un pašvaldības īpašumu apsaimniekošanas nodaļas vadītājs;</w:t>
      </w:r>
    </w:p>
    <w:p w:rsidR="005E3737" w:rsidRPr="007C7B7B" w:rsidRDefault="005E3737" w:rsidP="00FE5A59">
      <w:pPr>
        <w:pStyle w:val="Sarakstarindkopa"/>
        <w:ind w:left="924" w:hanging="567"/>
        <w:jc w:val="both"/>
      </w:pPr>
      <w:r w:rsidRPr="007C7B7B">
        <w:t xml:space="preserve">10.8. </w:t>
      </w:r>
      <w:r w:rsidR="009E20BE">
        <w:t>Limbažu novada pašvaldība</w:t>
      </w:r>
      <w:r w:rsidR="00B7777D">
        <w:t>i piederošos inženiertīklus pagastu teritorijās saskaņo attiecīgās pagasta pārvaldes vadītājs</w:t>
      </w:r>
      <w:r w:rsidR="009E20BE">
        <w:t>.</w:t>
      </w:r>
    </w:p>
    <w:p w:rsidR="007E4FD5" w:rsidRDefault="00EA000F" w:rsidP="00FE5A59">
      <w:pPr>
        <w:pStyle w:val="Sarakstarindkopa"/>
        <w:numPr>
          <w:ilvl w:val="0"/>
          <w:numId w:val="9"/>
        </w:numPr>
        <w:ind w:left="357" w:hanging="357"/>
        <w:jc w:val="both"/>
      </w:pPr>
      <w:r>
        <w:t xml:space="preserve">Pilsētu un ciemu teritorijās topogrāfiskajos plānos jāuzrāda sarkanās līnijas, ko </w:t>
      </w:r>
      <w:r w:rsidR="00B33D70">
        <w:t xml:space="preserve">pirms iesniegšanas Datubāzes turētājam </w:t>
      </w:r>
      <w:r w:rsidR="00A05056">
        <w:t>jā</w:t>
      </w:r>
      <w:r>
        <w:t>saskaņo</w:t>
      </w:r>
      <w:r w:rsidR="00A05056">
        <w:t xml:space="preserve"> ar</w:t>
      </w:r>
      <w:r>
        <w:t xml:space="preserve"> </w:t>
      </w:r>
      <w:r w:rsidRPr="007C7B7B">
        <w:t>Limbažu novada pašvaldības Nekustamā īpašuma un teritorijas plānošan</w:t>
      </w:r>
      <w:r w:rsidR="00A05056">
        <w:t>as nodaļas teritorijas plānotāju</w:t>
      </w:r>
      <w:r>
        <w:t xml:space="preserve"> </w:t>
      </w:r>
      <w:r w:rsidRPr="004A4B87">
        <w:t>–</w:t>
      </w:r>
      <w:r w:rsidR="00A05056">
        <w:t xml:space="preserve"> kartogrāfu</w:t>
      </w:r>
      <w:r>
        <w:t xml:space="preserve">. </w:t>
      </w:r>
    </w:p>
    <w:p w:rsidR="00EA000F" w:rsidRDefault="00EA000F" w:rsidP="00FE5A59">
      <w:pPr>
        <w:pStyle w:val="Sarakstarindkopa"/>
        <w:numPr>
          <w:ilvl w:val="0"/>
          <w:numId w:val="9"/>
        </w:numPr>
        <w:ind w:left="357" w:hanging="357"/>
        <w:jc w:val="both"/>
      </w:pPr>
      <w:r>
        <w:t xml:space="preserve">Saskaņojot mērniecības darbu izpildītāju iesniegto topogrāfisko plānu, inženiertīklu turētāju pienākums ir pārbaudīt inženierkomunikāciju uzmērījuma un attēlojuma atbilstību to rīcībā esošajiem datiem, bet nepieciešamības gadījumā kopā ar mērniecības darbu izpildītāju veikt komunikāciju apsekošanu un meklēšanu dabā. Inženiertīklu turētāji ir atbildīgi par inženierkomunikāciju uzmērījuma un attēlojuma pareizību to izsniegtajos datos, apliecinot to ar atbildīgās personas </w:t>
      </w:r>
      <w:r w:rsidR="00774A97">
        <w:t>saskaņojumu</w:t>
      </w:r>
      <w:r>
        <w:t xml:space="preserve"> uz mērniecības darbu izpildītāja iesniegtā topogrāfiskā plāna</w:t>
      </w:r>
      <w:r w:rsidRPr="00025603">
        <w:t>.</w:t>
      </w:r>
    </w:p>
    <w:p w:rsidR="00A1108B" w:rsidRPr="00A1108B" w:rsidRDefault="00A1108B" w:rsidP="00FE5A59">
      <w:pPr>
        <w:pStyle w:val="Sarakstarindkopa"/>
        <w:numPr>
          <w:ilvl w:val="0"/>
          <w:numId w:val="9"/>
        </w:numPr>
        <w:ind w:left="357" w:hanging="357"/>
        <w:jc w:val="both"/>
      </w:pPr>
      <w:r w:rsidRPr="00A1108B">
        <w:t>Ja veicot būvdarbus vai rakšanas darbus, tiek atrastas topogrāfiskajā plānā neuzrādītas vai vietai neatbilstošas inženierkomunikācijas vai citas būves, tad jāfiksē to novietojums dabā, jāuzmēra un jāattēlo izpildshēmā vai topogrāfiskajā plānā.</w:t>
      </w:r>
    </w:p>
    <w:p w:rsidR="00A1108B" w:rsidRPr="00A1108B" w:rsidRDefault="00A1108B" w:rsidP="00FE5A59">
      <w:pPr>
        <w:pStyle w:val="Sarakstarindkopa"/>
        <w:numPr>
          <w:ilvl w:val="0"/>
          <w:numId w:val="9"/>
        </w:numPr>
        <w:ind w:left="357" w:hanging="357"/>
        <w:jc w:val="both"/>
      </w:pPr>
      <w:r w:rsidRPr="00A1108B">
        <w:t>No jauna izbūvētie inženiertīkli jāuzmēra pirms tranšejas (būvbedres) aizbēršanas.</w:t>
      </w:r>
    </w:p>
    <w:p w:rsidR="007E4FD5" w:rsidRDefault="007E4FD5" w:rsidP="00FE5A59">
      <w:pPr>
        <w:pStyle w:val="Sarakstarindkopa"/>
        <w:numPr>
          <w:ilvl w:val="0"/>
          <w:numId w:val="9"/>
        </w:numPr>
        <w:ind w:left="357" w:hanging="357"/>
        <w:jc w:val="both"/>
      </w:pPr>
      <w:r w:rsidRPr="00025603">
        <w:lastRenderedPageBreak/>
        <w:t xml:space="preserve">Pēc būvdarbu pabeigšanas pasūtītājam jānodrošina ēkas (būves) un inženierkomunikāciju faktiskā novietojuma uzmērījums, kas iesniedzams </w:t>
      </w:r>
      <w:r w:rsidR="00AE42A9">
        <w:t>Limbažu novada pašvaldības B</w:t>
      </w:r>
      <w:r w:rsidRPr="00025603">
        <w:t>ūvvaldē, objektu nodod</w:t>
      </w:r>
      <w:r w:rsidR="00717082" w:rsidRPr="00025603">
        <w:t>ot</w:t>
      </w:r>
      <w:r w:rsidRPr="00025603">
        <w:t xml:space="preserve"> ekspluatācijā.</w:t>
      </w:r>
    </w:p>
    <w:p w:rsidR="00386619" w:rsidRPr="0060756A" w:rsidRDefault="00386619" w:rsidP="00FE5A59">
      <w:pPr>
        <w:pStyle w:val="Sarakstarindkopa"/>
        <w:numPr>
          <w:ilvl w:val="0"/>
          <w:numId w:val="9"/>
        </w:numPr>
        <w:ind w:left="357" w:hanging="357"/>
        <w:jc w:val="both"/>
      </w:pPr>
      <w:r>
        <w:t xml:space="preserve">Limbažu novada pašvaldības </w:t>
      </w:r>
      <w:r w:rsidR="00CD2935">
        <w:t>B</w:t>
      </w:r>
      <w:r>
        <w:t>ūvvalde saskaņo vai akceptē tikai tād</w:t>
      </w:r>
      <w:r w:rsidR="00BF7CF2">
        <w:t>as</w:t>
      </w:r>
      <w:r>
        <w:t xml:space="preserve"> </w:t>
      </w:r>
      <w:r w:rsidR="00BF7CF2">
        <w:t>būvniecības ieceres</w:t>
      </w:r>
      <w:r>
        <w:t xml:space="preserve">, kuras izstrādātas uz licencētu vai sertificētu personu sagatavota topogrāfiskā plāna, kas ievadīts </w:t>
      </w:r>
      <w:r w:rsidRPr="00871AF1">
        <w:t xml:space="preserve">vienotajā </w:t>
      </w:r>
      <w:r w:rsidRPr="005778BC">
        <w:t>ADTI digitālajā kartē</w:t>
      </w:r>
      <w:r>
        <w:t xml:space="preserve"> </w:t>
      </w:r>
      <w:r w:rsidR="00A82548">
        <w:t>(</w:t>
      </w:r>
      <w:r>
        <w:t>turpmāk</w:t>
      </w:r>
      <w:r w:rsidR="001E6A96">
        <w:t xml:space="preserve"> </w:t>
      </w:r>
      <w:r w:rsidR="001E6A96" w:rsidRPr="0060756A">
        <w:t>–</w:t>
      </w:r>
      <w:r w:rsidRPr="0060756A">
        <w:t xml:space="preserve"> Datubāze). Datubāzē ievadīta</w:t>
      </w:r>
      <w:r w:rsidR="00BF7CF2">
        <w:t>is</w:t>
      </w:r>
      <w:r w:rsidRPr="0060756A">
        <w:t xml:space="preserve"> topogrāfisk</w:t>
      </w:r>
      <w:r w:rsidR="00BF7CF2">
        <w:t>ais plāns jāiekļauj būvniecības ieceres dokumentācijas</w:t>
      </w:r>
      <w:r w:rsidRPr="0060756A">
        <w:t xml:space="preserve"> sa</w:t>
      </w:r>
      <w:r w:rsidR="00BF7CF2">
        <w:t>stāvā</w:t>
      </w:r>
      <w:r w:rsidRPr="0060756A">
        <w:t>.</w:t>
      </w:r>
    </w:p>
    <w:p w:rsidR="007E4FD5" w:rsidRPr="0060756A" w:rsidRDefault="007E4FD5" w:rsidP="00FE5A59">
      <w:pPr>
        <w:pStyle w:val="Sarakstarindkopa"/>
        <w:numPr>
          <w:ilvl w:val="0"/>
          <w:numId w:val="9"/>
        </w:numPr>
        <w:ind w:left="357" w:hanging="357"/>
        <w:jc w:val="both"/>
      </w:pPr>
      <w:r w:rsidRPr="0060756A">
        <w:t xml:space="preserve">Detālplānojumu un zemes ierīcības projektu grafiskās daļas ir nododamas pārbaudei </w:t>
      </w:r>
      <w:r w:rsidR="00230342" w:rsidRPr="0060756A">
        <w:t>Datubāzes turētājam</w:t>
      </w:r>
      <w:r w:rsidRPr="0060756A">
        <w:t xml:space="preserve">, lai pārbaudītu </w:t>
      </w:r>
      <w:r w:rsidR="0060756A" w:rsidRPr="0060756A">
        <w:t xml:space="preserve">attēloto elementu atbilstību specifikācijai. </w:t>
      </w:r>
      <w:r w:rsidR="00CD2935">
        <w:t>Limbažu novada p</w:t>
      </w:r>
      <w:r w:rsidRPr="0060756A">
        <w:t xml:space="preserve">ašvaldība lēmumu par zemes ierīcības projekta vai detālplānojuma redakcijas saskaņošanu pieņem tikai pēc saskaņojuma saņemšanas no </w:t>
      </w:r>
      <w:r w:rsidR="00254109" w:rsidRPr="0060756A">
        <w:t>Datubāzes turētāja</w:t>
      </w:r>
      <w:r w:rsidRPr="0060756A">
        <w:t>.</w:t>
      </w:r>
    </w:p>
    <w:p w:rsidR="007E4FD5" w:rsidRDefault="007E4FD5" w:rsidP="00FE5A59">
      <w:pPr>
        <w:pStyle w:val="Sarakstarindkopa"/>
        <w:numPr>
          <w:ilvl w:val="0"/>
          <w:numId w:val="9"/>
        </w:numPr>
        <w:ind w:left="357" w:hanging="357"/>
        <w:jc w:val="both"/>
      </w:pPr>
      <w:r w:rsidRPr="0060756A">
        <w:t xml:space="preserve">Ja starp </w:t>
      </w:r>
      <w:r w:rsidR="00230342" w:rsidRPr="0060756A">
        <w:t xml:space="preserve">Datubāzes turētāju </w:t>
      </w:r>
      <w:r w:rsidRPr="0060756A">
        <w:t>un mērniecības darbus veikušo sertificēto vai licencēto personu rodas strīds, tad veikto darbu pārbaudei un strīda atrisināšanai tiek pieaicināta cita mērniecībā sertificēta vai licencēta persona. Kļūdas gadījumā</w:t>
      </w:r>
      <w:r>
        <w:t xml:space="preserve"> darbus apmaksā vainīgā puse. Par vainīgās puses pārkāpumu tiek informēta mērniecības jomas sertificējošā institūcija.</w:t>
      </w:r>
    </w:p>
    <w:p w:rsidR="007E4FD5" w:rsidRPr="008B0A9E" w:rsidRDefault="008B0A9E" w:rsidP="00FE5A59">
      <w:pPr>
        <w:pStyle w:val="Sarakstarindkopa"/>
        <w:numPr>
          <w:ilvl w:val="0"/>
          <w:numId w:val="9"/>
        </w:numPr>
        <w:ind w:left="357" w:hanging="357"/>
        <w:jc w:val="both"/>
      </w:pPr>
      <w:r w:rsidRPr="008B0A9E">
        <w:t xml:space="preserve">Ar šo </w:t>
      </w:r>
      <w:r>
        <w:t>saistošo n</w:t>
      </w:r>
      <w:r w:rsidRPr="008B0A9E">
        <w:t xml:space="preserve">oteikumu spēkā stāšanās brīdi atzīt par spēku zaudējušiem </w:t>
      </w:r>
      <w:r w:rsidR="007E4FD5" w:rsidRPr="008B0A9E">
        <w:t xml:space="preserve">Limbažu novada </w:t>
      </w:r>
      <w:r>
        <w:t xml:space="preserve">pašvaldības </w:t>
      </w:r>
      <w:r w:rsidR="007E4FD5" w:rsidRPr="008B0A9E">
        <w:rPr>
          <w:bCs/>
        </w:rPr>
        <w:t>2011.</w:t>
      </w:r>
      <w:r>
        <w:rPr>
          <w:bCs/>
        </w:rPr>
        <w:t xml:space="preserve"> </w:t>
      </w:r>
      <w:r w:rsidR="00EF2613" w:rsidRPr="008B0A9E">
        <w:rPr>
          <w:bCs/>
        </w:rPr>
        <w:t>gada 24.</w:t>
      </w:r>
      <w:r>
        <w:rPr>
          <w:bCs/>
        </w:rPr>
        <w:t xml:space="preserve"> </w:t>
      </w:r>
      <w:r w:rsidR="00A71739">
        <w:rPr>
          <w:bCs/>
        </w:rPr>
        <w:t>a</w:t>
      </w:r>
      <w:r w:rsidR="00EF2613" w:rsidRPr="008B0A9E">
        <w:rPr>
          <w:bCs/>
        </w:rPr>
        <w:t>ugusta</w:t>
      </w:r>
      <w:r w:rsidR="00A71739">
        <w:rPr>
          <w:bCs/>
        </w:rPr>
        <w:t xml:space="preserve"> </w:t>
      </w:r>
      <w:r>
        <w:rPr>
          <w:bCs/>
        </w:rPr>
        <w:t>saistošos noteikumus</w:t>
      </w:r>
      <w:r w:rsidR="007E4FD5" w:rsidRPr="008B0A9E">
        <w:rPr>
          <w:bCs/>
        </w:rPr>
        <w:t xml:space="preserve"> Nr. 24 „Par augstas detalizācijas topogrāfiskās informācijas</w:t>
      </w:r>
      <w:r w:rsidR="003B5A11" w:rsidRPr="008B0A9E">
        <w:rPr>
          <w:bCs/>
        </w:rPr>
        <w:t xml:space="preserve"> aprites kārtību Limbažu novadā”</w:t>
      </w:r>
      <w:r w:rsidR="00477BB1" w:rsidRPr="008B0A9E">
        <w:rPr>
          <w:bCs/>
        </w:rPr>
        <w:t>.</w:t>
      </w:r>
    </w:p>
    <w:p w:rsidR="00FD3579" w:rsidRDefault="00FD3579" w:rsidP="00CE4F47">
      <w:pPr>
        <w:tabs>
          <w:tab w:val="left" w:pos="8364"/>
        </w:tabs>
        <w:rPr>
          <w:highlight w:val="yellow"/>
        </w:rPr>
      </w:pPr>
    </w:p>
    <w:p w:rsidR="008B0A9E" w:rsidRPr="00A64099" w:rsidRDefault="008B0A9E" w:rsidP="00CE4F47">
      <w:pPr>
        <w:tabs>
          <w:tab w:val="left" w:pos="8364"/>
        </w:tabs>
        <w:rPr>
          <w:highlight w:val="yellow"/>
        </w:rPr>
      </w:pPr>
    </w:p>
    <w:p w:rsidR="008F306F" w:rsidRDefault="00E10A9A" w:rsidP="00CE4F47">
      <w:pPr>
        <w:tabs>
          <w:tab w:val="left" w:pos="8364"/>
        </w:tabs>
      </w:pPr>
      <w:r>
        <w:t>Limbažu novada pašvaldības</w:t>
      </w:r>
    </w:p>
    <w:p w:rsidR="00CE4F47" w:rsidRDefault="00CE4F47" w:rsidP="00CE4F47">
      <w:pPr>
        <w:tabs>
          <w:tab w:val="left" w:pos="8364"/>
        </w:tabs>
      </w:pPr>
      <w:r w:rsidRPr="008F306F">
        <w:t>Domes priekšsēdētājs</w:t>
      </w:r>
      <w:r w:rsidR="00FB5331">
        <w:t xml:space="preserve">                                      /paraksts/                                                        </w:t>
      </w:r>
      <w:r w:rsidR="008F306F" w:rsidRPr="008F306F">
        <w:t>D.</w:t>
      </w:r>
      <w:r w:rsidR="008F306F">
        <w:t xml:space="preserve"> Zemmers</w:t>
      </w:r>
    </w:p>
    <w:p w:rsidR="00FE5A59" w:rsidRDefault="00FE5A59" w:rsidP="00CE4F47">
      <w:pPr>
        <w:sectPr w:rsidR="00FE5A59" w:rsidSect="0087738F">
          <w:headerReference w:type="default" r:id="rId7"/>
          <w:headerReference w:type="first" r:id="rId8"/>
          <w:pgSz w:w="12240" w:h="15840"/>
          <w:pgMar w:top="1134" w:right="567" w:bottom="1134" w:left="1701" w:header="709" w:footer="709" w:gutter="0"/>
          <w:cols w:space="708"/>
          <w:titlePg/>
          <w:docGrid w:linePitch="360"/>
        </w:sectPr>
      </w:pPr>
    </w:p>
    <w:p w:rsidR="0067742D" w:rsidRPr="00857B68" w:rsidRDefault="0067742D" w:rsidP="0067742D">
      <w:pPr>
        <w:jc w:val="right"/>
        <w:rPr>
          <w:b/>
        </w:rPr>
      </w:pPr>
      <w:r w:rsidRPr="00857B68">
        <w:rPr>
          <w:b/>
        </w:rPr>
        <w:lastRenderedPageBreak/>
        <w:t>PIELIKUMS</w:t>
      </w:r>
    </w:p>
    <w:p w:rsidR="00D04817" w:rsidRDefault="0067742D" w:rsidP="0067742D">
      <w:pPr>
        <w:jc w:val="right"/>
      </w:pPr>
      <w:r w:rsidRPr="00857B68">
        <w:t xml:space="preserve">Limbažu novada pašvaldības </w:t>
      </w:r>
    </w:p>
    <w:p w:rsidR="0067742D" w:rsidRPr="00857B68" w:rsidRDefault="00FE5A59" w:rsidP="0067742D">
      <w:pPr>
        <w:jc w:val="right"/>
      </w:pPr>
      <w:r>
        <w:t>27</w:t>
      </w:r>
      <w:r w:rsidR="00D04817">
        <w:t xml:space="preserve">.02.2020. </w:t>
      </w:r>
      <w:r w:rsidR="00857B68">
        <w:t>s</w:t>
      </w:r>
      <w:r w:rsidR="0067742D" w:rsidRPr="00857B68">
        <w:t>aistoš</w:t>
      </w:r>
      <w:r w:rsidR="00857B68">
        <w:t>aj</w:t>
      </w:r>
      <w:r w:rsidR="0067742D" w:rsidRPr="00857B68">
        <w:t>iem noteikumiem Nr.</w:t>
      </w:r>
      <w:r w:rsidR="00857B68">
        <w:t xml:space="preserve"> </w:t>
      </w:r>
      <w:r w:rsidR="0087738F">
        <w:t>3</w:t>
      </w:r>
      <w:r w:rsidR="0067742D" w:rsidRPr="00857B68">
        <w:t xml:space="preserve"> </w:t>
      </w:r>
    </w:p>
    <w:p w:rsidR="0067742D" w:rsidRPr="00857B68" w:rsidRDefault="0067742D" w:rsidP="0067742D">
      <w:pPr>
        <w:jc w:val="right"/>
      </w:pPr>
      <w:r w:rsidRPr="00857B68">
        <w:t>“Par augstas detalizācijas topogrāfiskās informācijas</w:t>
      </w:r>
    </w:p>
    <w:p w:rsidR="0067742D" w:rsidRDefault="0067742D" w:rsidP="0067742D">
      <w:pPr>
        <w:jc w:val="right"/>
      </w:pPr>
      <w:r w:rsidRPr="00857B68">
        <w:t>aprites kārtību Limbažu novadā”</w:t>
      </w:r>
    </w:p>
    <w:p w:rsidR="00857B68" w:rsidRDefault="00857B68" w:rsidP="0067742D">
      <w:pPr>
        <w:jc w:val="right"/>
      </w:pPr>
    </w:p>
    <w:p w:rsidR="00E77750" w:rsidRPr="00FE5A59" w:rsidRDefault="00857B68" w:rsidP="00857B68">
      <w:pPr>
        <w:tabs>
          <w:tab w:val="left" w:pos="3408"/>
        </w:tabs>
        <w:jc w:val="center"/>
        <w:rPr>
          <w:b/>
          <w:sz w:val="28"/>
          <w:szCs w:val="28"/>
        </w:rPr>
      </w:pPr>
      <w:r w:rsidRPr="00FE5A59">
        <w:rPr>
          <w:b/>
          <w:sz w:val="28"/>
          <w:szCs w:val="28"/>
        </w:rPr>
        <w:t>Maksa par</w:t>
      </w:r>
      <w:r w:rsidR="00FE5A59" w:rsidRPr="00FE5A59">
        <w:rPr>
          <w:b/>
          <w:sz w:val="28"/>
          <w:szCs w:val="28"/>
        </w:rPr>
        <w:t xml:space="preserve"> </w:t>
      </w:r>
      <w:r w:rsidRPr="00FE5A59">
        <w:rPr>
          <w:b/>
          <w:sz w:val="28"/>
          <w:szCs w:val="28"/>
        </w:rPr>
        <w:t xml:space="preserve">datu, kuri satur augstas detalizācijas topogrāfisko informāciju, pārbaudi, reģistrāciju Limbažu novada pašvaldības datubāzē, </w:t>
      </w:r>
    </w:p>
    <w:p w:rsidR="00857B68" w:rsidRPr="00FE5A59" w:rsidRDefault="00857B68" w:rsidP="00E77750">
      <w:pPr>
        <w:tabs>
          <w:tab w:val="left" w:pos="3408"/>
        </w:tabs>
        <w:jc w:val="center"/>
        <w:rPr>
          <w:b/>
          <w:sz w:val="28"/>
          <w:szCs w:val="28"/>
        </w:rPr>
      </w:pPr>
      <w:r w:rsidRPr="00FE5A59">
        <w:rPr>
          <w:b/>
          <w:sz w:val="28"/>
          <w:szCs w:val="28"/>
        </w:rPr>
        <w:t>sagatavošanu un izsniegšanu no datubāzes</w:t>
      </w:r>
    </w:p>
    <w:p w:rsidR="00FB5331" w:rsidRPr="00FB5331" w:rsidRDefault="00FB5331" w:rsidP="00FB5331">
      <w:pPr>
        <w:ind w:firstLine="567"/>
        <w:jc w:val="right"/>
        <w:rPr>
          <w:szCs w:val="24"/>
        </w:rPr>
      </w:pPr>
      <w:r>
        <w:rPr>
          <w:i/>
          <w:iCs/>
          <w:szCs w:val="24"/>
        </w:rPr>
        <w:t>(</w:t>
      </w:r>
      <w:r w:rsidRPr="00FB5331">
        <w:rPr>
          <w:i/>
          <w:iCs/>
          <w:szCs w:val="24"/>
        </w:rPr>
        <w:t xml:space="preserve">grozījumi </w:t>
      </w:r>
      <w:r w:rsidRPr="00FB5331">
        <w:rPr>
          <w:i/>
          <w:iCs/>
          <w:szCs w:val="24"/>
        </w:rPr>
        <w:t xml:space="preserve">izdarīti ar Limbažu novada </w:t>
      </w:r>
      <w:r>
        <w:rPr>
          <w:i/>
          <w:iCs/>
          <w:szCs w:val="24"/>
        </w:rPr>
        <w:t>pašvaldības</w:t>
      </w:r>
      <w:r w:rsidRPr="00FB5331">
        <w:rPr>
          <w:i/>
          <w:iCs/>
          <w:szCs w:val="24"/>
        </w:rPr>
        <w:t xml:space="preserve"> </w:t>
      </w:r>
      <w:r>
        <w:rPr>
          <w:i/>
          <w:iCs/>
          <w:szCs w:val="24"/>
        </w:rPr>
        <w:t>25</w:t>
      </w:r>
      <w:r w:rsidRPr="00FB5331">
        <w:rPr>
          <w:i/>
          <w:iCs/>
          <w:szCs w:val="24"/>
        </w:rPr>
        <w:t>.03.20</w:t>
      </w:r>
      <w:r>
        <w:rPr>
          <w:i/>
          <w:iCs/>
          <w:szCs w:val="24"/>
        </w:rPr>
        <w:t>21</w:t>
      </w:r>
      <w:r w:rsidRPr="00FB5331">
        <w:rPr>
          <w:i/>
          <w:iCs/>
          <w:szCs w:val="24"/>
        </w:rPr>
        <w:t>. saistošajiem noteikumiem Nr.</w:t>
      </w:r>
      <w:r>
        <w:rPr>
          <w:i/>
          <w:iCs/>
          <w:szCs w:val="24"/>
        </w:rPr>
        <w:t>5</w:t>
      </w:r>
      <w:r>
        <w:rPr>
          <w:i/>
          <w:iCs/>
          <w:szCs w:val="24"/>
        </w:rPr>
        <w:t>)</w:t>
      </w:r>
      <w:bookmarkStart w:id="0" w:name="_GoBack"/>
      <w:bookmarkEnd w:id="0"/>
    </w:p>
    <w:p w:rsidR="002C673E" w:rsidRDefault="002C673E" w:rsidP="00FB5331">
      <w:pPr>
        <w:jc w:val="center"/>
      </w:pPr>
    </w:p>
    <w:tbl>
      <w:tblPr>
        <w:tblStyle w:val="Reatabula"/>
        <w:tblW w:w="8770" w:type="dxa"/>
        <w:jc w:val="center"/>
        <w:tblLayout w:type="fixed"/>
        <w:tblLook w:val="04A0" w:firstRow="1" w:lastRow="0" w:firstColumn="1" w:lastColumn="0" w:noHBand="0" w:noVBand="1"/>
      </w:tblPr>
      <w:tblGrid>
        <w:gridCol w:w="824"/>
        <w:gridCol w:w="4864"/>
        <w:gridCol w:w="1530"/>
        <w:gridCol w:w="1537"/>
        <w:gridCol w:w="15"/>
      </w:tblGrid>
      <w:tr w:rsidR="00FB5331" w:rsidRPr="007F4B5E" w:rsidTr="00CF510D">
        <w:trPr>
          <w:gridAfter w:val="1"/>
          <w:wAfter w:w="15" w:type="dxa"/>
          <w:trHeight w:val="809"/>
          <w:jc w:val="center"/>
        </w:trPr>
        <w:tc>
          <w:tcPr>
            <w:tcW w:w="824" w:type="dxa"/>
          </w:tcPr>
          <w:p w:rsidR="00FB5331" w:rsidRPr="007F4B5E" w:rsidRDefault="00FB5331" w:rsidP="00CF510D">
            <w:r w:rsidRPr="007F4B5E">
              <w:tab/>
              <w:t xml:space="preserve">Nr. p. k. </w:t>
            </w:r>
          </w:p>
        </w:tc>
        <w:tc>
          <w:tcPr>
            <w:tcW w:w="4864" w:type="dxa"/>
          </w:tcPr>
          <w:p w:rsidR="00FB5331" w:rsidRPr="007F4B5E" w:rsidRDefault="00FB5331" w:rsidP="00CF510D">
            <w:pPr>
              <w:jc w:val="center"/>
            </w:pPr>
            <w:r w:rsidRPr="007F4B5E">
              <w:t>Pakalpojuma nosaukums</w:t>
            </w:r>
          </w:p>
        </w:tc>
        <w:tc>
          <w:tcPr>
            <w:tcW w:w="1530" w:type="dxa"/>
          </w:tcPr>
          <w:p w:rsidR="00FB5331" w:rsidRPr="007F4B5E" w:rsidRDefault="00FB5331" w:rsidP="00CF510D">
            <w:r w:rsidRPr="007F4B5E">
              <w:t>Cena, EUR</w:t>
            </w:r>
          </w:p>
          <w:p w:rsidR="00FB5331" w:rsidRPr="007F4B5E" w:rsidRDefault="00FB5331" w:rsidP="00CF510D">
            <w:r w:rsidRPr="007F4B5E">
              <w:t xml:space="preserve">bez PVN </w:t>
            </w:r>
          </w:p>
          <w:p w:rsidR="00FB5331" w:rsidRPr="007F4B5E" w:rsidRDefault="00FB5331" w:rsidP="00CF510D"/>
        </w:tc>
        <w:tc>
          <w:tcPr>
            <w:tcW w:w="1537" w:type="dxa"/>
          </w:tcPr>
          <w:p w:rsidR="00FB5331" w:rsidRPr="007F4B5E" w:rsidRDefault="00FB5331" w:rsidP="00CF510D">
            <w:r w:rsidRPr="007F4B5E">
              <w:t>Cena, EUR</w:t>
            </w:r>
          </w:p>
          <w:p w:rsidR="00FB5331" w:rsidRPr="007F4B5E" w:rsidRDefault="00FB5331" w:rsidP="00CF510D">
            <w:r w:rsidRPr="007F4B5E">
              <w:t xml:space="preserve">ar 21 % PVN </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Topogrāfiskās informācijas (tai skaitā ielu sarkano līniju) izsniegšana, pieņemšana, pārbaude, ievadīšana  datu planšetēs un reģistrēšana datubāzē un nosūtīšana pašvaldībai</w:t>
            </w:r>
          </w:p>
        </w:tc>
        <w:tc>
          <w:tcPr>
            <w:tcW w:w="1530" w:type="dxa"/>
          </w:tcPr>
          <w:p w:rsidR="00FB5331" w:rsidRPr="007F4B5E" w:rsidRDefault="00FB5331" w:rsidP="00CF510D"/>
        </w:tc>
        <w:tc>
          <w:tcPr>
            <w:tcW w:w="1537" w:type="dxa"/>
          </w:tcPr>
          <w:p w:rsidR="00FB5331" w:rsidRPr="007F4B5E" w:rsidRDefault="00FB5331" w:rsidP="00CF510D"/>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1.1.</w:t>
            </w:r>
          </w:p>
        </w:tc>
        <w:tc>
          <w:tcPr>
            <w:tcW w:w="4864" w:type="dxa"/>
          </w:tcPr>
          <w:p w:rsidR="00FB5331" w:rsidRPr="007F4B5E" w:rsidRDefault="00FB5331" w:rsidP="00CF510D">
            <w:r w:rsidRPr="007F4B5E">
              <w:t>objekta platība līdz 0,3 ha (ieskaitot), viens objekts</w:t>
            </w:r>
          </w:p>
        </w:tc>
        <w:tc>
          <w:tcPr>
            <w:tcW w:w="1530" w:type="dxa"/>
          </w:tcPr>
          <w:p w:rsidR="00FB5331" w:rsidRPr="007F4B5E" w:rsidRDefault="00FB5331" w:rsidP="00CF510D">
            <w:pPr>
              <w:jc w:val="center"/>
              <w:rPr>
                <w:b/>
                <w:bCs/>
              </w:rPr>
            </w:pPr>
            <w:r w:rsidRPr="007F4B5E">
              <w:rPr>
                <w:b/>
                <w:bCs/>
              </w:rPr>
              <w:t>20,00</w:t>
            </w:r>
          </w:p>
        </w:tc>
        <w:tc>
          <w:tcPr>
            <w:tcW w:w="1537" w:type="dxa"/>
          </w:tcPr>
          <w:p w:rsidR="00FB5331" w:rsidRPr="007F4B5E" w:rsidRDefault="00FB5331" w:rsidP="00CF510D">
            <w:pPr>
              <w:jc w:val="center"/>
              <w:rPr>
                <w:b/>
                <w:bCs/>
              </w:rPr>
            </w:pPr>
            <w:r w:rsidRPr="007F4B5E">
              <w:rPr>
                <w:b/>
                <w:bCs/>
              </w:rPr>
              <w:t>24,20</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1.2.</w:t>
            </w:r>
          </w:p>
        </w:tc>
        <w:tc>
          <w:tcPr>
            <w:tcW w:w="4864" w:type="dxa"/>
          </w:tcPr>
          <w:p w:rsidR="00FB5331" w:rsidRPr="007F4B5E" w:rsidRDefault="00FB5331" w:rsidP="00CF510D">
            <w:r w:rsidRPr="007F4B5E">
              <w:t>objekta platība virs 0,3 ha līdz 0,5 ha (ieskaitot), viens objekts</w:t>
            </w:r>
          </w:p>
        </w:tc>
        <w:tc>
          <w:tcPr>
            <w:tcW w:w="1530" w:type="dxa"/>
          </w:tcPr>
          <w:p w:rsidR="00FB5331" w:rsidRPr="007F4B5E" w:rsidRDefault="00FB5331" w:rsidP="00CF510D">
            <w:pPr>
              <w:jc w:val="center"/>
              <w:rPr>
                <w:b/>
                <w:bCs/>
              </w:rPr>
            </w:pPr>
            <w:r w:rsidRPr="007F4B5E">
              <w:rPr>
                <w:b/>
                <w:bCs/>
              </w:rPr>
              <w:t>14,00</w:t>
            </w:r>
          </w:p>
        </w:tc>
        <w:tc>
          <w:tcPr>
            <w:tcW w:w="1537" w:type="dxa"/>
          </w:tcPr>
          <w:p w:rsidR="00FB5331" w:rsidRPr="007F4B5E" w:rsidRDefault="00FB5331" w:rsidP="00CF510D">
            <w:pPr>
              <w:jc w:val="center"/>
              <w:rPr>
                <w:b/>
                <w:bCs/>
              </w:rPr>
            </w:pPr>
            <w:r w:rsidRPr="007F4B5E">
              <w:rPr>
                <w:b/>
                <w:bCs/>
              </w:rPr>
              <w:t>16,94</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1.3.</w:t>
            </w:r>
          </w:p>
        </w:tc>
        <w:tc>
          <w:tcPr>
            <w:tcW w:w="4864" w:type="dxa"/>
          </w:tcPr>
          <w:p w:rsidR="00FB5331" w:rsidRPr="007F4B5E" w:rsidRDefault="00FB5331" w:rsidP="00CF510D">
            <w:r w:rsidRPr="007F4B5E">
              <w:t>objekta platība virs 0,5 ha līdz 1,0 ha (ieskaitot), viens objekts</w:t>
            </w:r>
          </w:p>
        </w:tc>
        <w:tc>
          <w:tcPr>
            <w:tcW w:w="1530" w:type="dxa"/>
          </w:tcPr>
          <w:p w:rsidR="00FB5331" w:rsidRPr="007F4B5E" w:rsidRDefault="00FB5331" w:rsidP="00CF510D">
            <w:pPr>
              <w:jc w:val="center"/>
              <w:rPr>
                <w:b/>
                <w:bCs/>
              </w:rPr>
            </w:pPr>
            <w:r w:rsidRPr="007F4B5E">
              <w:rPr>
                <w:b/>
                <w:bCs/>
              </w:rPr>
              <w:t>14,00</w:t>
            </w:r>
          </w:p>
        </w:tc>
        <w:tc>
          <w:tcPr>
            <w:tcW w:w="1537" w:type="dxa"/>
          </w:tcPr>
          <w:p w:rsidR="00FB5331" w:rsidRPr="007F4B5E" w:rsidRDefault="00FB5331" w:rsidP="00CF510D">
            <w:pPr>
              <w:jc w:val="center"/>
              <w:rPr>
                <w:b/>
                <w:bCs/>
              </w:rPr>
            </w:pPr>
            <w:r w:rsidRPr="007F4B5E">
              <w:rPr>
                <w:b/>
                <w:bCs/>
              </w:rPr>
              <w:t>16,94</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1.4.</w:t>
            </w:r>
          </w:p>
        </w:tc>
        <w:tc>
          <w:tcPr>
            <w:tcW w:w="4864" w:type="dxa"/>
          </w:tcPr>
          <w:p w:rsidR="00FB5331" w:rsidRPr="007F4B5E" w:rsidRDefault="00FB5331" w:rsidP="00CF510D">
            <w:r w:rsidRPr="007F4B5E">
              <w:t>objekta platība virs 1,0 ha, papildus par katru nākamo ha</w:t>
            </w:r>
          </w:p>
        </w:tc>
        <w:tc>
          <w:tcPr>
            <w:tcW w:w="1530" w:type="dxa"/>
          </w:tcPr>
          <w:p w:rsidR="00FB5331" w:rsidRPr="007F4B5E" w:rsidRDefault="00FB5331" w:rsidP="00CF510D">
            <w:pPr>
              <w:jc w:val="center"/>
              <w:rPr>
                <w:b/>
                <w:bCs/>
              </w:rPr>
            </w:pPr>
            <w:r w:rsidRPr="007F4B5E">
              <w:rPr>
                <w:b/>
                <w:bCs/>
              </w:rPr>
              <w:t>14,00</w:t>
            </w:r>
          </w:p>
        </w:tc>
        <w:tc>
          <w:tcPr>
            <w:tcW w:w="1537" w:type="dxa"/>
          </w:tcPr>
          <w:p w:rsidR="00FB5331" w:rsidRPr="007F4B5E" w:rsidRDefault="00FB5331" w:rsidP="00CF510D">
            <w:pPr>
              <w:jc w:val="center"/>
              <w:rPr>
                <w:b/>
                <w:bCs/>
              </w:rPr>
            </w:pPr>
            <w:r w:rsidRPr="007F4B5E">
              <w:rPr>
                <w:b/>
                <w:bCs/>
              </w:rPr>
              <w:t>16,94</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 xml:space="preserve">Inženierkomunikāciju </w:t>
            </w:r>
            <w:r w:rsidRPr="007F4B5E">
              <w:rPr>
                <w:sz w:val="36"/>
                <w:szCs w:val="36"/>
              </w:rPr>
              <w:t xml:space="preserve"> </w:t>
            </w:r>
            <w:r w:rsidRPr="007F4B5E">
              <w:rPr>
                <w:b/>
              </w:rPr>
              <w:t>izpildmērījumu plāna pieņemšana, pārbaude, ievadīšana datu planšetēs un reģistrēšana un nosūtīšana pašvaldībai *</w:t>
            </w:r>
          </w:p>
        </w:tc>
        <w:tc>
          <w:tcPr>
            <w:tcW w:w="1530" w:type="dxa"/>
          </w:tcPr>
          <w:p w:rsidR="00FB5331" w:rsidRPr="007F4B5E" w:rsidRDefault="00FB5331" w:rsidP="00CF510D">
            <w:pPr>
              <w:jc w:val="center"/>
              <w:rPr>
                <w:b/>
                <w:bCs/>
              </w:rPr>
            </w:pPr>
          </w:p>
        </w:tc>
        <w:tc>
          <w:tcPr>
            <w:tcW w:w="1537" w:type="dxa"/>
          </w:tcPr>
          <w:p w:rsidR="00FB5331" w:rsidRPr="007F4B5E" w:rsidRDefault="00FB5331" w:rsidP="00CF510D">
            <w:pPr>
              <w:jc w:val="center"/>
              <w:rPr>
                <w:b/>
                <w:bCs/>
              </w:rPr>
            </w:pPr>
          </w:p>
        </w:tc>
      </w:tr>
      <w:tr w:rsidR="00FB5331" w:rsidRPr="007F4B5E" w:rsidTr="00CF510D">
        <w:trPr>
          <w:gridAfter w:val="1"/>
          <w:wAfter w:w="15" w:type="dxa"/>
          <w:jc w:val="center"/>
        </w:trPr>
        <w:tc>
          <w:tcPr>
            <w:tcW w:w="8755" w:type="dxa"/>
            <w:gridSpan w:val="4"/>
          </w:tcPr>
          <w:p w:rsidR="00FB5331" w:rsidRPr="007F4B5E" w:rsidRDefault="00FB5331" w:rsidP="00CF510D">
            <w:pPr>
              <w:jc w:val="both"/>
              <w:rPr>
                <w:b/>
                <w:bCs/>
              </w:rPr>
            </w:pPr>
            <w:r w:rsidRPr="007F4B5E">
              <w:rPr>
                <w:rFonts w:eastAsia="Times New Roman"/>
                <w:szCs w:val="24"/>
                <w:lang w:eastAsia="en-GB"/>
              </w:rPr>
              <w:t xml:space="preserve">* Atbilstoši </w:t>
            </w:r>
            <w:r w:rsidRPr="007F4B5E">
              <w:t xml:space="preserve">2018. gada 12. jūnija </w:t>
            </w:r>
            <w:r w:rsidRPr="007F4B5E">
              <w:rPr>
                <w:rFonts w:eastAsia="Times New Roman"/>
                <w:szCs w:val="24"/>
                <w:lang w:eastAsia="en-GB"/>
              </w:rPr>
              <w:t>MK noteikumiem Nr. 326 ”Būvju klasifikācijas noteikumi”, inženierkomunikācijas ir cauruļvadi, sakaru un elektropārvades līnijas (kods 22). Cenrāža cena tiek piemērota tikai galvenajam objektam.</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2.1.</w:t>
            </w:r>
          </w:p>
        </w:tc>
        <w:tc>
          <w:tcPr>
            <w:tcW w:w="4864" w:type="dxa"/>
          </w:tcPr>
          <w:p w:rsidR="00FB5331" w:rsidRPr="007F4B5E" w:rsidRDefault="00FB5331" w:rsidP="00CF510D">
            <w:r w:rsidRPr="007F4B5E">
              <w:t>trases garums līdz 30m</w:t>
            </w:r>
          </w:p>
        </w:tc>
        <w:tc>
          <w:tcPr>
            <w:tcW w:w="1530" w:type="dxa"/>
          </w:tcPr>
          <w:p w:rsidR="00FB5331" w:rsidRPr="007F4B5E" w:rsidRDefault="00FB5331" w:rsidP="00CF510D">
            <w:pPr>
              <w:jc w:val="center"/>
              <w:rPr>
                <w:b/>
                <w:bCs/>
              </w:rPr>
            </w:pPr>
            <w:r w:rsidRPr="007F4B5E">
              <w:rPr>
                <w:b/>
                <w:bCs/>
              </w:rPr>
              <w:t>5,00</w:t>
            </w:r>
          </w:p>
        </w:tc>
        <w:tc>
          <w:tcPr>
            <w:tcW w:w="1537" w:type="dxa"/>
          </w:tcPr>
          <w:p w:rsidR="00FB5331" w:rsidRPr="007F4B5E" w:rsidRDefault="00FB5331" w:rsidP="00CF510D">
            <w:pPr>
              <w:jc w:val="center"/>
              <w:rPr>
                <w:b/>
                <w:bCs/>
              </w:rPr>
            </w:pPr>
            <w:r w:rsidRPr="007F4B5E">
              <w:rPr>
                <w:b/>
                <w:bCs/>
              </w:rPr>
              <w:t>6,05</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2.2.</w:t>
            </w:r>
          </w:p>
        </w:tc>
        <w:tc>
          <w:tcPr>
            <w:tcW w:w="4864" w:type="dxa"/>
          </w:tcPr>
          <w:p w:rsidR="00FB5331" w:rsidRPr="007F4B5E" w:rsidRDefault="00FB5331" w:rsidP="00CF510D">
            <w:r w:rsidRPr="007F4B5E">
              <w:t>trases garums no 30 līdz 300 m</w:t>
            </w:r>
          </w:p>
        </w:tc>
        <w:tc>
          <w:tcPr>
            <w:tcW w:w="1530" w:type="dxa"/>
          </w:tcPr>
          <w:p w:rsidR="00FB5331" w:rsidRPr="007F4B5E" w:rsidRDefault="00FB5331" w:rsidP="00CF510D">
            <w:pPr>
              <w:jc w:val="center"/>
              <w:rPr>
                <w:b/>
                <w:bCs/>
              </w:rPr>
            </w:pPr>
            <w:r w:rsidRPr="007F4B5E">
              <w:rPr>
                <w:b/>
                <w:bCs/>
              </w:rPr>
              <w:t>5,00</w:t>
            </w:r>
          </w:p>
        </w:tc>
        <w:tc>
          <w:tcPr>
            <w:tcW w:w="1537" w:type="dxa"/>
          </w:tcPr>
          <w:p w:rsidR="00FB5331" w:rsidRPr="007F4B5E" w:rsidRDefault="00FB5331" w:rsidP="00CF510D">
            <w:pPr>
              <w:jc w:val="center"/>
              <w:rPr>
                <w:b/>
                <w:bCs/>
              </w:rPr>
            </w:pPr>
            <w:r w:rsidRPr="007F4B5E">
              <w:rPr>
                <w:b/>
                <w:bCs/>
              </w:rPr>
              <w:t>6,05</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2.3.</w:t>
            </w:r>
          </w:p>
        </w:tc>
        <w:tc>
          <w:tcPr>
            <w:tcW w:w="4864" w:type="dxa"/>
          </w:tcPr>
          <w:p w:rsidR="00FB5331" w:rsidRPr="007F4B5E" w:rsidRDefault="00FB5331" w:rsidP="00CF510D">
            <w:r w:rsidRPr="007F4B5E">
              <w:t>trases garums virs 300 m, papildus par katriem nākamajiem 100 m</w:t>
            </w:r>
          </w:p>
        </w:tc>
        <w:tc>
          <w:tcPr>
            <w:tcW w:w="1530" w:type="dxa"/>
          </w:tcPr>
          <w:p w:rsidR="00FB5331" w:rsidRPr="007F4B5E" w:rsidRDefault="00FB5331" w:rsidP="00CF510D">
            <w:pPr>
              <w:jc w:val="center"/>
              <w:rPr>
                <w:b/>
                <w:bCs/>
              </w:rPr>
            </w:pPr>
            <w:r w:rsidRPr="007F4B5E">
              <w:rPr>
                <w:b/>
                <w:bCs/>
              </w:rPr>
              <w:t>5,00</w:t>
            </w:r>
          </w:p>
        </w:tc>
        <w:tc>
          <w:tcPr>
            <w:tcW w:w="1537" w:type="dxa"/>
          </w:tcPr>
          <w:p w:rsidR="00FB5331" w:rsidRPr="007F4B5E" w:rsidRDefault="00FB5331" w:rsidP="00CF510D">
            <w:pPr>
              <w:jc w:val="center"/>
              <w:rPr>
                <w:b/>
                <w:bCs/>
              </w:rPr>
            </w:pPr>
            <w:r w:rsidRPr="007F4B5E">
              <w:rPr>
                <w:b/>
                <w:bCs/>
              </w:rPr>
              <w:t>6,05</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2.4.</w:t>
            </w:r>
          </w:p>
        </w:tc>
        <w:tc>
          <w:tcPr>
            <w:tcW w:w="4864" w:type="dxa"/>
          </w:tcPr>
          <w:p w:rsidR="00FB5331" w:rsidRPr="007F4B5E" w:rsidRDefault="00FB5331" w:rsidP="00CF510D">
            <w:r w:rsidRPr="007F4B5E">
              <w:t>objektam, kura platību mēra ha (viens objekts)</w:t>
            </w:r>
          </w:p>
        </w:tc>
        <w:tc>
          <w:tcPr>
            <w:tcW w:w="1530" w:type="dxa"/>
          </w:tcPr>
          <w:p w:rsidR="00FB5331" w:rsidRPr="007F4B5E" w:rsidRDefault="00FB5331" w:rsidP="00CF510D">
            <w:pPr>
              <w:jc w:val="center"/>
              <w:rPr>
                <w:b/>
                <w:bCs/>
              </w:rPr>
            </w:pPr>
            <w:r w:rsidRPr="007F4B5E">
              <w:rPr>
                <w:b/>
                <w:bCs/>
              </w:rPr>
              <w:t>5,00</w:t>
            </w:r>
          </w:p>
        </w:tc>
        <w:tc>
          <w:tcPr>
            <w:tcW w:w="1537" w:type="dxa"/>
          </w:tcPr>
          <w:p w:rsidR="00FB5331" w:rsidRPr="007F4B5E" w:rsidRDefault="00FB5331" w:rsidP="00CF510D">
            <w:pPr>
              <w:jc w:val="center"/>
              <w:rPr>
                <w:b/>
                <w:bCs/>
              </w:rPr>
            </w:pPr>
            <w:r w:rsidRPr="007F4B5E">
              <w:rPr>
                <w:b/>
                <w:bCs/>
              </w:rPr>
              <w:t>6,05</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Galveno būvasu reģistrēšana datu bāzē un nosūtīšana pašvaldībai</w:t>
            </w:r>
          </w:p>
        </w:tc>
        <w:tc>
          <w:tcPr>
            <w:tcW w:w="1530" w:type="dxa"/>
          </w:tcPr>
          <w:p w:rsidR="00FB5331" w:rsidRPr="007F4B5E" w:rsidRDefault="00FB5331" w:rsidP="00CF510D">
            <w:pPr>
              <w:jc w:val="center"/>
            </w:pPr>
          </w:p>
        </w:tc>
        <w:tc>
          <w:tcPr>
            <w:tcW w:w="1537" w:type="dxa"/>
          </w:tcPr>
          <w:p w:rsidR="00FB5331" w:rsidRPr="007F4B5E" w:rsidRDefault="00FB5331" w:rsidP="00CF510D">
            <w:pPr>
              <w:jc w:val="cente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3.1.</w:t>
            </w:r>
          </w:p>
        </w:tc>
        <w:tc>
          <w:tcPr>
            <w:tcW w:w="4864" w:type="dxa"/>
          </w:tcPr>
          <w:p w:rsidR="00FB5331" w:rsidRPr="007F4B5E" w:rsidRDefault="00FB5331" w:rsidP="00CF510D">
            <w:r w:rsidRPr="007F4B5E">
              <w:t>viens objekts</w:t>
            </w:r>
          </w:p>
        </w:tc>
        <w:tc>
          <w:tcPr>
            <w:tcW w:w="1530" w:type="dxa"/>
          </w:tcPr>
          <w:p w:rsidR="00FB5331" w:rsidRPr="007F4B5E" w:rsidRDefault="00FB5331" w:rsidP="00CF510D">
            <w:pPr>
              <w:jc w:val="center"/>
              <w:rPr>
                <w:b/>
                <w:bCs/>
              </w:rPr>
            </w:pPr>
            <w:r w:rsidRPr="007F4B5E">
              <w:rPr>
                <w:b/>
                <w:bCs/>
              </w:rPr>
              <w:t>3,00</w:t>
            </w:r>
          </w:p>
        </w:tc>
        <w:tc>
          <w:tcPr>
            <w:tcW w:w="1537" w:type="dxa"/>
          </w:tcPr>
          <w:p w:rsidR="00FB5331" w:rsidRPr="007F4B5E" w:rsidRDefault="00FB5331" w:rsidP="00CF510D">
            <w:pPr>
              <w:jc w:val="center"/>
              <w:rPr>
                <w:b/>
                <w:bCs/>
              </w:rPr>
            </w:pPr>
            <w:r w:rsidRPr="007F4B5E">
              <w:rPr>
                <w:b/>
                <w:bCs/>
              </w:rPr>
              <w:t>3,63</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Vienas būves novietnes pārbaudes ienešana datu bāzē un nosūtīšana pašvaldībai</w:t>
            </w:r>
            <w:r w:rsidRPr="007F4B5E">
              <w:rPr>
                <w:rFonts w:eastAsia="Times New Roman"/>
                <w:szCs w:val="24"/>
                <w:lang w:eastAsia="en-GB"/>
              </w:rPr>
              <w:t xml:space="preserve"> Pamatojoties uz</w:t>
            </w:r>
            <w:r w:rsidRPr="007F4B5E">
              <w:rPr>
                <w:bCs/>
              </w:rPr>
              <w:t xml:space="preserve"> </w:t>
            </w:r>
            <w:r w:rsidRPr="007F4B5E">
              <w:t xml:space="preserve">2018. gada 12. jūnija </w:t>
            </w:r>
            <w:r w:rsidRPr="007F4B5E">
              <w:rPr>
                <w:rFonts w:eastAsia="Times New Roman"/>
                <w:szCs w:val="24"/>
                <w:lang w:eastAsia="en-GB"/>
              </w:rPr>
              <w:t xml:space="preserve">MK noteikumiem Nr. 326 ”Būvju klasifikācijas noteikumi”, šie objekti ir ēkas (kods 1) un kompleksās būves rūpnieciskās ražošanas </w:t>
            </w:r>
            <w:r w:rsidRPr="007F4B5E">
              <w:rPr>
                <w:rFonts w:eastAsia="Times New Roman"/>
                <w:szCs w:val="24"/>
                <w:lang w:eastAsia="en-GB"/>
              </w:rPr>
              <w:lastRenderedPageBreak/>
              <w:t>uzņēmumos (kods 23)</w:t>
            </w:r>
            <w:r w:rsidRPr="007F4B5E">
              <w:rPr>
                <w:rFonts w:eastAsia="Times New Roman"/>
                <w:bCs/>
                <w:szCs w:val="24"/>
                <w:lang w:eastAsia="en-GB"/>
              </w:rPr>
              <w:t>.</w:t>
            </w:r>
            <w:r w:rsidRPr="007F4B5E">
              <w:rPr>
                <w:b/>
              </w:rPr>
              <w:t xml:space="preserve"> **</w:t>
            </w:r>
          </w:p>
        </w:tc>
        <w:tc>
          <w:tcPr>
            <w:tcW w:w="1530" w:type="dxa"/>
          </w:tcPr>
          <w:p w:rsidR="00FB5331" w:rsidRPr="007F4B5E" w:rsidRDefault="00FB5331" w:rsidP="00CF510D">
            <w:pPr>
              <w:jc w:val="center"/>
            </w:pPr>
          </w:p>
        </w:tc>
        <w:tc>
          <w:tcPr>
            <w:tcW w:w="1537" w:type="dxa"/>
          </w:tcPr>
          <w:p w:rsidR="00FB5331" w:rsidRPr="007F4B5E" w:rsidRDefault="00FB5331" w:rsidP="00CF510D">
            <w:pPr>
              <w:jc w:val="center"/>
            </w:pPr>
          </w:p>
        </w:tc>
      </w:tr>
      <w:tr w:rsidR="00FB5331" w:rsidRPr="007F4B5E" w:rsidTr="00CF510D">
        <w:trPr>
          <w:gridAfter w:val="1"/>
          <w:wAfter w:w="15" w:type="dxa"/>
          <w:trHeight w:val="617"/>
          <w:jc w:val="center"/>
        </w:trPr>
        <w:tc>
          <w:tcPr>
            <w:tcW w:w="824" w:type="dxa"/>
          </w:tcPr>
          <w:p w:rsidR="00FB5331" w:rsidRPr="007F4B5E" w:rsidRDefault="00FB5331" w:rsidP="00CF510D">
            <w:pPr>
              <w:jc w:val="center"/>
            </w:pPr>
            <w:r w:rsidRPr="007F4B5E">
              <w:t xml:space="preserve">4.1. </w:t>
            </w:r>
          </w:p>
        </w:tc>
        <w:tc>
          <w:tcPr>
            <w:tcW w:w="4864" w:type="dxa"/>
          </w:tcPr>
          <w:p w:rsidR="00FB5331" w:rsidRPr="007F4B5E" w:rsidRDefault="00FB5331" w:rsidP="00CF510D">
            <w:pPr>
              <w:rPr>
                <w:b/>
                <w:sz w:val="36"/>
                <w:szCs w:val="36"/>
              </w:rPr>
            </w:pPr>
            <w:r w:rsidRPr="007F4B5E">
              <w:t xml:space="preserve">viens objekts </w:t>
            </w:r>
          </w:p>
        </w:tc>
        <w:tc>
          <w:tcPr>
            <w:tcW w:w="1530" w:type="dxa"/>
          </w:tcPr>
          <w:p w:rsidR="00FB5331" w:rsidRPr="007F4B5E" w:rsidRDefault="00FB5331" w:rsidP="00CF510D">
            <w:pPr>
              <w:jc w:val="center"/>
              <w:rPr>
                <w:b/>
                <w:bCs/>
              </w:rPr>
            </w:pPr>
            <w:r w:rsidRPr="007F4B5E">
              <w:rPr>
                <w:b/>
                <w:bCs/>
              </w:rPr>
              <w:t>3,00</w:t>
            </w:r>
          </w:p>
        </w:tc>
        <w:tc>
          <w:tcPr>
            <w:tcW w:w="1537" w:type="dxa"/>
          </w:tcPr>
          <w:p w:rsidR="00FB5331" w:rsidRPr="007F4B5E" w:rsidRDefault="00FB5331" w:rsidP="00CF510D">
            <w:pPr>
              <w:jc w:val="center"/>
              <w:rPr>
                <w:b/>
                <w:bCs/>
              </w:rPr>
            </w:pPr>
            <w:r w:rsidRPr="007F4B5E">
              <w:rPr>
                <w:b/>
                <w:bCs/>
              </w:rPr>
              <w:t>3,63</w:t>
            </w:r>
          </w:p>
        </w:tc>
      </w:tr>
      <w:tr w:rsidR="00FB5331" w:rsidRPr="007F4B5E" w:rsidTr="00CF510D">
        <w:trPr>
          <w:gridAfter w:val="1"/>
          <w:wAfter w:w="15" w:type="dxa"/>
          <w:jc w:val="center"/>
        </w:trPr>
        <w:tc>
          <w:tcPr>
            <w:tcW w:w="8755" w:type="dxa"/>
            <w:gridSpan w:val="4"/>
          </w:tcPr>
          <w:p w:rsidR="00FB5331" w:rsidRPr="007F4B5E" w:rsidRDefault="00FB5331" w:rsidP="00CF510D">
            <w:pPr>
              <w:jc w:val="both"/>
            </w:pPr>
            <w:r w:rsidRPr="007F4B5E">
              <w:rPr>
                <w:rFonts w:eastAsia="Times New Roman"/>
                <w:szCs w:val="24"/>
                <w:lang w:eastAsia="en-GB"/>
              </w:rPr>
              <w:t>** Atbilstoši 2018. gada 12. jūnija MK noteikumiem Nr. 326 ”Būvju klasifikācijas noteikumi”, šie objekti ir ēkas (kods 1), kompleksās būves rūpnieciskās ražošanas uzņēmumos (kods 23) un citas inženierbūves (kods 24). Ja minēto ēku\būvju izpildmērījums tiek iesniegts vienā plānā ar inženierkomunikāciju izpildmērījumu, tad papildus cenrāža punktam Nr. 4 tiek piemērots arī cenrāža 2. punkts.</w:t>
            </w:r>
          </w:p>
        </w:tc>
      </w:tr>
      <w:tr w:rsidR="00FB5331" w:rsidRPr="007F4B5E" w:rsidTr="00CF510D">
        <w:trPr>
          <w:gridAfter w:val="1"/>
          <w:wAfter w:w="15" w:type="dxa"/>
          <w:jc w:val="center"/>
        </w:trPr>
        <w:tc>
          <w:tcPr>
            <w:tcW w:w="8755" w:type="dxa"/>
            <w:gridSpan w:val="4"/>
          </w:tcPr>
          <w:p w:rsidR="00FB5331" w:rsidRPr="007F4B5E" w:rsidRDefault="00FB5331" w:rsidP="00CF510D">
            <w:pPr>
              <w:jc w:val="both"/>
              <w:rPr>
                <w:b/>
                <w:bCs/>
              </w:rPr>
            </w:pPr>
            <w:r w:rsidRPr="007F4B5E">
              <w:t>Transporta būvju (kods 21 atbilstoši 2018. gada 12. jūnija MK noteikumiem Nr. 326 ”Būvju klasifikācijas noteikumi”) izpildmērījumu reģistrācijai, kā arī, ja transporta būvju izpildmērījuma plānā papildus tiek attēloti teritorijas labiekārtojuma elementi un/vai ēkas, būves, inženierkomunikācijas, cenas noteikšanai tiek piemēroti šī cenrāža 1.punkta nosacījumi.</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Detālplānojuma vai zemes ierīcības projekta reģistrācija</w:t>
            </w:r>
          </w:p>
        </w:tc>
        <w:tc>
          <w:tcPr>
            <w:tcW w:w="1530" w:type="dxa"/>
          </w:tcPr>
          <w:p w:rsidR="00FB5331" w:rsidRPr="007F4B5E" w:rsidRDefault="00FB5331" w:rsidP="00CF510D">
            <w:pPr>
              <w:jc w:val="center"/>
              <w:rPr>
                <w:b/>
                <w:bCs/>
              </w:rPr>
            </w:pPr>
          </w:p>
        </w:tc>
        <w:tc>
          <w:tcPr>
            <w:tcW w:w="1537" w:type="dxa"/>
          </w:tcPr>
          <w:p w:rsidR="00FB5331" w:rsidRPr="007F4B5E" w:rsidRDefault="00FB5331" w:rsidP="00CF510D">
            <w:pPr>
              <w:jc w:val="center"/>
              <w:rPr>
                <w:b/>
                <w:bCs/>
              </w:rP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5.1.</w:t>
            </w:r>
          </w:p>
        </w:tc>
        <w:tc>
          <w:tcPr>
            <w:tcW w:w="4864" w:type="dxa"/>
          </w:tcPr>
          <w:p w:rsidR="00FB5331" w:rsidRPr="007F4B5E" w:rsidRDefault="00FB5331" w:rsidP="00CF510D">
            <w:r w:rsidRPr="007F4B5E">
              <w:t>viens objekts (plānojums vai projekts)</w:t>
            </w:r>
          </w:p>
        </w:tc>
        <w:tc>
          <w:tcPr>
            <w:tcW w:w="1530" w:type="dxa"/>
          </w:tcPr>
          <w:p w:rsidR="00FB5331" w:rsidRPr="007F4B5E" w:rsidRDefault="00FB5331" w:rsidP="00CF510D">
            <w:pPr>
              <w:jc w:val="center"/>
              <w:rPr>
                <w:b/>
                <w:bCs/>
              </w:rPr>
            </w:pPr>
            <w:r w:rsidRPr="007F4B5E">
              <w:rPr>
                <w:b/>
                <w:bCs/>
              </w:rPr>
              <w:t>10,00</w:t>
            </w:r>
          </w:p>
        </w:tc>
        <w:tc>
          <w:tcPr>
            <w:tcW w:w="1537" w:type="dxa"/>
          </w:tcPr>
          <w:p w:rsidR="00FB5331" w:rsidRPr="007F4B5E" w:rsidRDefault="00FB5331" w:rsidP="00CF510D">
            <w:pPr>
              <w:jc w:val="center"/>
              <w:rPr>
                <w:b/>
                <w:bCs/>
              </w:rPr>
            </w:pPr>
            <w:r w:rsidRPr="007F4B5E">
              <w:rPr>
                <w:b/>
                <w:bCs/>
              </w:rPr>
              <w:t>12,10</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Inženiertīklu pārskata shēmas noformēšana un nosūtīšana pasūtītājam  (pārskata shēma izmantojama tikai reklāmas objektu novietnei bez inženiertīklu pieslēgumiem un vienkāršoto inženiertīklu pievadu un iekšējo inženiertīklu izbūvei):</w:t>
            </w:r>
          </w:p>
        </w:tc>
        <w:tc>
          <w:tcPr>
            <w:tcW w:w="1530" w:type="dxa"/>
          </w:tcPr>
          <w:p w:rsidR="00FB5331" w:rsidRPr="007F4B5E" w:rsidRDefault="00FB5331" w:rsidP="00CF510D">
            <w:pPr>
              <w:jc w:val="center"/>
            </w:pPr>
          </w:p>
        </w:tc>
        <w:tc>
          <w:tcPr>
            <w:tcW w:w="1537" w:type="dxa"/>
          </w:tcPr>
          <w:p w:rsidR="00FB5331" w:rsidRPr="007F4B5E" w:rsidRDefault="00FB5331" w:rsidP="00CF510D">
            <w:pPr>
              <w:jc w:val="cente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6.1.</w:t>
            </w:r>
          </w:p>
        </w:tc>
        <w:tc>
          <w:tcPr>
            <w:tcW w:w="4864" w:type="dxa"/>
          </w:tcPr>
          <w:p w:rsidR="00FB5331" w:rsidRPr="007F4B5E" w:rsidRDefault="00FB5331" w:rsidP="00CF510D">
            <w:r w:rsidRPr="007F4B5E">
              <w:t>objektam ar platību līdz 1,0 ha (ieskaitot), viens objekts</w:t>
            </w:r>
          </w:p>
        </w:tc>
        <w:tc>
          <w:tcPr>
            <w:tcW w:w="1530" w:type="dxa"/>
          </w:tcPr>
          <w:p w:rsidR="00FB5331" w:rsidRPr="007F4B5E" w:rsidRDefault="00FB5331" w:rsidP="00CF510D">
            <w:pPr>
              <w:jc w:val="center"/>
              <w:rPr>
                <w:b/>
                <w:bCs/>
              </w:rPr>
            </w:pPr>
            <w:r w:rsidRPr="007F4B5E">
              <w:rPr>
                <w:b/>
                <w:bCs/>
              </w:rPr>
              <w:t>0,00</w:t>
            </w:r>
          </w:p>
        </w:tc>
        <w:tc>
          <w:tcPr>
            <w:tcW w:w="1537" w:type="dxa"/>
          </w:tcPr>
          <w:p w:rsidR="00FB5331" w:rsidRPr="007F4B5E" w:rsidRDefault="00FB5331" w:rsidP="00CF510D">
            <w:pPr>
              <w:jc w:val="center"/>
              <w:rPr>
                <w:b/>
                <w:bCs/>
              </w:rPr>
            </w:pPr>
            <w:r w:rsidRPr="007F4B5E">
              <w:rPr>
                <w:b/>
                <w:bCs/>
              </w:rPr>
              <w:t>0,00</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Informācijas izsniegšana zemes vienības robežplānu sagatavošanai vai citu mērniecības darbu veikšanai, kas nav minēti iepriekš minētajos punktos, vienā zemes vienībā:</w:t>
            </w:r>
          </w:p>
        </w:tc>
        <w:tc>
          <w:tcPr>
            <w:tcW w:w="1530" w:type="dxa"/>
          </w:tcPr>
          <w:p w:rsidR="00FB5331" w:rsidRPr="007F4B5E" w:rsidRDefault="00FB5331" w:rsidP="00CF510D">
            <w:pPr>
              <w:jc w:val="center"/>
            </w:pPr>
          </w:p>
        </w:tc>
        <w:tc>
          <w:tcPr>
            <w:tcW w:w="1537" w:type="dxa"/>
          </w:tcPr>
          <w:p w:rsidR="00FB5331" w:rsidRPr="007F4B5E" w:rsidRDefault="00FB5331" w:rsidP="00CF510D">
            <w:pPr>
              <w:jc w:val="cente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7.1.</w:t>
            </w:r>
          </w:p>
        </w:tc>
        <w:tc>
          <w:tcPr>
            <w:tcW w:w="4864" w:type="dxa"/>
          </w:tcPr>
          <w:p w:rsidR="00FB5331" w:rsidRPr="007F4B5E" w:rsidRDefault="00FB5331" w:rsidP="00CF510D">
            <w:r w:rsidRPr="007F4B5E">
              <w:t>viena zemes vienība</w:t>
            </w:r>
          </w:p>
        </w:tc>
        <w:tc>
          <w:tcPr>
            <w:tcW w:w="1530" w:type="dxa"/>
          </w:tcPr>
          <w:p w:rsidR="00FB5331" w:rsidRPr="007F4B5E" w:rsidRDefault="00FB5331" w:rsidP="00CF510D">
            <w:pPr>
              <w:jc w:val="center"/>
              <w:rPr>
                <w:b/>
                <w:bCs/>
              </w:rPr>
            </w:pPr>
            <w:r w:rsidRPr="007F4B5E">
              <w:rPr>
                <w:b/>
                <w:bCs/>
              </w:rPr>
              <w:t>0,00</w:t>
            </w:r>
          </w:p>
        </w:tc>
        <w:tc>
          <w:tcPr>
            <w:tcW w:w="1537" w:type="dxa"/>
          </w:tcPr>
          <w:p w:rsidR="00FB5331" w:rsidRPr="007F4B5E" w:rsidRDefault="00FB5331" w:rsidP="00CF510D">
            <w:pPr>
              <w:jc w:val="center"/>
              <w:rPr>
                <w:b/>
                <w:bCs/>
              </w:rPr>
            </w:pPr>
            <w:r w:rsidRPr="007F4B5E">
              <w:rPr>
                <w:b/>
                <w:bCs/>
              </w:rPr>
              <w:t>0,00</w:t>
            </w:r>
          </w:p>
        </w:tc>
      </w:tr>
      <w:tr w:rsidR="00FB5331" w:rsidRPr="007F4B5E" w:rsidTr="00CF510D">
        <w:trPr>
          <w:gridAfter w:val="1"/>
          <w:wAfter w:w="15" w:type="dxa"/>
          <w:jc w:val="center"/>
        </w:trPr>
        <w:tc>
          <w:tcPr>
            <w:tcW w:w="824" w:type="dxa"/>
          </w:tcPr>
          <w:p w:rsidR="00FB5331" w:rsidRPr="007F4B5E" w:rsidRDefault="00FB5331" w:rsidP="00CF510D">
            <w:pPr>
              <w:pStyle w:val="Sarakstarindkopa"/>
              <w:numPr>
                <w:ilvl w:val="0"/>
                <w:numId w:val="13"/>
              </w:numPr>
              <w:jc w:val="center"/>
            </w:pPr>
          </w:p>
        </w:tc>
        <w:tc>
          <w:tcPr>
            <w:tcW w:w="4864" w:type="dxa"/>
          </w:tcPr>
          <w:p w:rsidR="00FB5331" w:rsidRPr="007F4B5E" w:rsidRDefault="00FB5331" w:rsidP="00CF510D">
            <w:pPr>
              <w:rPr>
                <w:b/>
              </w:rPr>
            </w:pPr>
            <w:r w:rsidRPr="007F4B5E">
              <w:rPr>
                <w:b/>
              </w:rPr>
              <w:t xml:space="preserve">Topogrāfiskās informācijas sagatavošana un izsniegšana digitālā formātā </w:t>
            </w:r>
          </w:p>
        </w:tc>
        <w:tc>
          <w:tcPr>
            <w:tcW w:w="1530" w:type="dxa"/>
          </w:tcPr>
          <w:p w:rsidR="00FB5331" w:rsidRPr="007F4B5E" w:rsidRDefault="00FB5331" w:rsidP="00CF510D">
            <w:pPr>
              <w:jc w:val="center"/>
            </w:pPr>
          </w:p>
        </w:tc>
        <w:tc>
          <w:tcPr>
            <w:tcW w:w="1537" w:type="dxa"/>
          </w:tcPr>
          <w:p w:rsidR="00FB5331" w:rsidRPr="007F4B5E" w:rsidRDefault="00FB5331" w:rsidP="00CF510D">
            <w:pPr>
              <w:jc w:val="cente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8.1.</w:t>
            </w:r>
          </w:p>
        </w:tc>
        <w:tc>
          <w:tcPr>
            <w:tcW w:w="4864" w:type="dxa"/>
          </w:tcPr>
          <w:p w:rsidR="00FB5331" w:rsidRPr="007F4B5E" w:rsidRDefault="00FB5331" w:rsidP="00CF510D">
            <w:r w:rsidRPr="007F4B5E">
              <w:t>objekta platība līdz 25 ha (ieskaitot), viens objekts</w:t>
            </w:r>
          </w:p>
        </w:tc>
        <w:tc>
          <w:tcPr>
            <w:tcW w:w="1530" w:type="dxa"/>
          </w:tcPr>
          <w:p w:rsidR="00FB5331" w:rsidRPr="007F4B5E" w:rsidRDefault="00FB5331" w:rsidP="00CF510D">
            <w:pPr>
              <w:jc w:val="center"/>
              <w:rPr>
                <w:b/>
                <w:bCs/>
              </w:rPr>
            </w:pPr>
            <w:r w:rsidRPr="007F4B5E">
              <w:rPr>
                <w:b/>
                <w:bCs/>
              </w:rPr>
              <w:t>0,00</w:t>
            </w:r>
          </w:p>
        </w:tc>
        <w:tc>
          <w:tcPr>
            <w:tcW w:w="1537" w:type="dxa"/>
          </w:tcPr>
          <w:p w:rsidR="00FB5331" w:rsidRPr="007F4B5E" w:rsidRDefault="00FB5331" w:rsidP="00CF510D">
            <w:pPr>
              <w:jc w:val="center"/>
            </w:pPr>
            <w:r w:rsidRPr="007F4B5E">
              <w:rPr>
                <w:b/>
                <w:bCs/>
              </w:rPr>
              <w:t>0,00</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8.2.</w:t>
            </w:r>
          </w:p>
        </w:tc>
        <w:tc>
          <w:tcPr>
            <w:tcW w:w="4864" w:type="dxa"/>
          </w:tcPr>
          <w:p w:rsidR="00FB5331" w:rsidRPr="007F4B5E" w:rsidRDefault="00FB5331" w:rsidP="00CF510D">
            <w:r w:rsidRPr="007F4B5E">
              <w:t>objekta platība virs 25 ha, papildus par katru nākamo ha</w:t>
            </w:r>
          </w:p>
        </w:tc>
        <w:tc>
          <w:tcPr>
            <w:tcW w:w="1530" w:type="dxa"/>
          </w:tcPr>
          <w:p w:rsidR="00FB5331" w:rsidRPr="007F4B5E" w:rsidRDefault="00FB5331" w:rsidP="00CF510D">
            <w:pPr>
              <w:jc w:val="center"/>
              <w:rPr>
                <w:b/>
                <w:bCs/>
              </w:rPr>
            </w:pPr>
            <w:r w:rsidRPr="007F4B5E">
              <w:rPr>
                <w:b/>
                <w:bCs/>
              </w:rPr>
              <w:t>0,00</w:t>
            </w:r>
          </w:p>
        </w:tc>
        <w:tc>
          <w:tcPr>
            <w:tcW w:w="1537" w:type="dxa"/>
          </w:tcPr>
          <w:p w:rsidR="00FB5331" w:rsidRPr="007F4B5E" w:rsidRDefault="00FB5331" w:rsidP="00CF510D">
            <w:pPr>
              <w:jc w:val="center"/>
            </w:pPr>
            <w:r w:rsidRPr="007F4B5E">
              <w:rPr>
                <w:b/>
                <w:bCs/>
              </w:rPr>
              <w:t>0,00</w:t>
            </w: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9.</w:t>
            </w:r>
          </w:p>
        </w:tc>
        <w:tc>
          <w:tcPr>
            <w:tcW w:w="4864" w:type="dxa"/>
          </w:tcPr>
          <w:p w:rsidR="00FB5331" w:rsidRPr="00413B7F" w:rsidRDefault="00FB5331" w:rsidP="00CF510D">
            <w:pPr>
              <w:rPr>
                <w:b/>
              </w:rPr>
            </w:pPr>
            <w:r w:rsidRPr="00413B7F">
              <w:rPr>
                <w:b/>
              </w:rPr>
              <w:t>Demontāžas aktu pieņemšana un ienešana datu bāzē</w:t>
            </w:r>
          </w:p>
        </w:tc>
        <w:tc>
          <w:tcPr>
            <w:tcW w:w="1530" w:type="dxa"/>
          </w:tcPr>
          <w:p w:rsidR="00FB5331" w:rsidRPr="007F4B5E" w:rsidRDefault="00FB5331" w:rsidP="00CF510D">
            <w:pPr>
              <w:jc w:val="center"/>
              <w:rPr>
                <w:b/>
                <w:bCs/>
              </w:rPr>
            </w:pPr>
          </w:p>
        </w:tc>
        <w:tc>
          <w:tcPr>
            <w:tcW w:w="1537" w:type="dxa"/>
          </w:tcPr>
          <w:p w:rsidR="00FB5331" w:rsidRPr="007F4B5E" w:rsidRDefault="00FB5331" w:rsidP="00CF510D">
            <w:pPr>
              <w:rPr>
                <w:b/>
                <w:bCs/>
              </w:rPr>
            </w:pPr>
          </w:p>
        </w:tc>
      </w:tr>
      <w:tr w:rsidR="00FB5331" w:rsidRPr="007F4B5E" w:rsidTr="00CF510D">
        <w:trPr>
          <w:gridAfter w:val="1"/>
          <w:wAfter w:w="15" w:type="dxa"/>
          <w:jc w:val="center"/>
        </w:trPr>
        <w:tc>
          <w:tcPr>
            <w:tcW w:w="824" w:type="dxa"/>
          </w:tcPr>
          <w:p w:rsidR="00FB5331" w:rsidRPr="007F4B5E" w:rsidRDefault="00FB5331" w:rsidP="00CF510D">
            <w:pPr>
              <w:jc w:val="center"/>
            </w:pPr>
            <w:r w:rsidRPr="007F4B5E">
              <w:t>9.1.</w:t>
            </w:r>
          </w:p>
        </w:tc>
        <w:tc>
          <w:tcPr>
            <w:tcW w:w="4864" w:type="dxa"/>
          </w:tcPr>
          <w:p w:rsidR="00FB5331" w:rsidRPr="007F4B5E" w:rsidRDefault="00FB5331" w:rsidP="00CF510D">
            <w:r w:rsidRPr="007F4B5E">
              <w:t>Viens objekts, neatkarīgi no apjoma rādītājiem</w:t>
            </w:r>
          </w:p>
        </w:tc>
        <w:tc>
          <w:tcPr>
            <w:tcW w:w="1530" w:type="dxa"/>
          </w:tcPr>
          <w:p w:rsidR="00FB5331" w:rsidRPr="007F4B5E" w:rsidRDefault="00FB5331" w:rsidP="00CF510D">
            <w:pPr>
              <w:jc w:val="center"/>
              <w:rPr>
                <w:b/>
                <w:bCs/>
              </w:rPr>
            </w:pPr>
            <w:r w:rsidRPr="007F4B5E">
              <w:rPr>
                <w:b/>
                <w:bCs/>
              </w:rPr>
              <w:t>0,00</w:t>
            </w:r>
          </w:p>
        </w:tc>
        <w:tc>
          <w:tcPr>
            <w:tcW w:w="1537" w:type="dxa"/>
          </w:tcPr>
          <w:p w:rsidR="00FB5331" w:rsidRPr="007F4B5E" w:rsidRDefault="00FB5331" w:rsidP="00CF510D">
            <w:pPr>
              <w:jc w:val="center"/>
              <w:rPr>
                <w:b/>
                <w:bCs/>
              </w:rPr>
            </w:pPr>
            <w:r w:rsidRPr="007F4B5E">
              <w:rPr>
                <w:b/>
                <w:bCs/>
              </w:rPr>
              <w:t>0,00</w:t>
            </w:r>
          </w:p>
        </w:tc>
      </w:tr>
      <w:tr w:rsidR="00FB5331" w:rsidRPr="007F4B5E" w:rsidTr="00CF510D">
        <w:trPr>
          <w:jc w:val="center"/>
        </w:trPr>
        <w:tc>
          <w:tcPr>
            <w:tcW w:w="8770" w:type="dxa"/>
            <w:gridSpan w:val="5"/>
          </w:tcPr>
          <w:p w:rsidR="00FB5331" w:rsidRPr="007F4B5E" w:rsidRDefault="00FB5331" w:rsidP="00CF510D">
            <w:pPr>
              <w:jc w:val="both"/>
            </w:pPr>
            <w:r w:rsidRPr="007F4B5E">
              <w:rPr>
                <w:bCs/>
              </w:rPr>
              <w:t>Viens objekts - izpildmērījuma plāns vai topogrāfiskais plāns, kas elektroniskajā versijā atrodas vienā datnē, noformēts rakstlaukumos ar vienotu lappušu numerāciju, un attālums (grafiskā informācijas pārrāvums starp uzmērītajiem objektiem) nav lielāks par 100 metriem.</w:t>
            </w:r>
          </w:p>
        </w:tc>
      </w:tr>
    </w:tbl>
    <w:p w:rsidR="00857B68" w:rsidRPr="002C673E" w:rsidRDefault="00857B68" w:rsidP="002C673E">
      <w:pPr>
        <w:tabs>
          <w:tab w:val="left" w:pos="3648"/>
        </w:tabs>
      </w:pPr>
    </w:p>
    <w:sectPr w:rsidR="00857B68" w:rsidRPr="002C673E" w:rsidSect="0087738F">
      <w:headerReference w:type="default" r:id="rId9"/>
      <w:headerReference w:type="first" r:id="rId10"/>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29" w:rsidRDefault="00F24629" w:rsidP="00A11554">
      <w:r>
        <w:separator/>
      </w:r>
    </w:p>
  </w:endnote>
  <w:endnote w:type="continuationSeparator" w:id="0">
    <w:p w:rsidR="00F24629" w:rsidRDefault="00F24629" w:rsidP="00A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29" w:rsidRDefault="00F24629" w:rsidP="00A11554">
      <w:r>
        <w:separator/>
      </w:r>
    </w:p>
  </w:footnote>
  <w:footnote w:type="continuationSeparator" w:id="0">
    <w:p w:rsidR="00F24629" w:rsidRDefault="00F24629" w:rsidP="00A1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54" w:rsidRDefault="00A11554">
    <w:pPr>
      <w:pStyle w:val="Galvene"/>
      <w:jc w:val="center"/>
    </w:pPr>
    <w:r>
      <w:fldChar w:fldCharType="begin"/>
    </w:r>
    <w:r>
      <w:instrText>PAGE   \* MERGEFORMAT</w:instrText>
    </w:r>
    <w:r>
      <w:fldChar w:fldCharType="separate"/>
    </w:r>
    <w:r w:rsidR="00FB5331">
      <w:rPr>
        <w:noProof/>
      </w:rPr>
      <w:t>3</w:t>
    </w:r>
    <w:r>
      <w:fldChar w:fldCharType="end"/>
    </w:r>
  </w:p>
  <w:p w:rsidR="00A11554" w:rsidRDefault="00A115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59" w:rsidRDefault="00FE5A59">
    <w:pPr>
      <w:pStyle w:val="Galvene"/>
    </w:pPr>
    <w:r>
      <w:rPr>
        <w:noProof/>
        <w:lang w:eastAsia="lv-LV"/>
      </w:rPr>
      <w:drawing>
        <wp:anchor distT="0" distB="0" distL="114300" distR="114300" simplePos="0" relativeHeight="251658240" behindDoc="1" locked="0" layoutInCell="1" allowOverlap="0">
          <wp:simplePos x="0" y="0"/>
          <wp:positionH relativeFrom="page">
            <wp:posOffset>117475</wp:posOffset>
          </wp:positionH>
          <wp:positionV relativeFrom="paragraph">
            <wp:posOffset>-452755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567397"/>
      <w:docPartObj>
        <w:docPartGallery w:val="Page Numbers (Top of Page)"/>
        <w:docPartUnique/>
      </w:docPartObj>
    </w:sdtPr>
    <w:sdtEndPr/>
    <w:sdtContent>
      <w:p w:rsidR="00FE5A59" w:rsidRDefault="00FE5A59">
        <w:pPr>
          <w:pStyle w:val="Galvene"/>
          <w:jc w:val="center"/>
        </w:pPr>
        <w:r>
          <w:fldChar w:fldCharType="begin"/>
        </w:r>
        <w:r>
          <w:instrText>PAGE   \* MERGEFORMAT</w:instrText>
        </w:r>
        <w:r>
          <w:fldChar w:fldCharType="separate"/>
        </w:r>
        <w:r w:rsidR="00FB5331">
          <w:rPr>
            <w:noProof/>
          </w:rPr>
          <w:t>2</w:t>
        </w:r>
        <w:r>
          <w:fldChar w:fldCharType="end"/>
        </w:r>
      </w:p>
    </w:sdtContent>
  </w:sdt>
  <w:p w:rsidR="00FE5A59" w:rsidRDefault="00FE5A5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59" w:rsidRDefault="00FE5A5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B28"/>
    <w:multiLevelType w:val="multilevel"/>
    <w:tmpl w:val="FC38BE2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6F5C0E"/>
    <w:multiLevelType w:val="multilevel"/>
    <w:tmpl w:val="7E5C33E4"/>
    <w:lvl w:ilvl="0">
      <w:start w:val="3"/>
      <w:numFmt w:val="decimal"/>
      <w:suff w:val="space"/>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15:restartNumberingAfterBreak="0">
    <w:nsid w:val="3D8C7346"/>
    <w:multiLevelType w:val="hybridMultilevel"/>
    <w:tmpl w:val="36DAC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4559F0"/>
    <w:multiLevelType w:val="multilevel"/>
    <w:tmpl w:val="49B04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B1FE8"/>
    <w:multiLevelType w:val="hybridMultilevel"/>
    <w:tmpl w:val="587C23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5467BB"/>
    <w:multiLevelType w:val="hybridMultilevel"/>
    <w:tmpl w:val="AF4A2E92"/>
    <w:lvl w:ilvl="0" w:tplc="9E9648F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B88"/>
    <w:multiLevelType w:val="hybridMultilevel"/>
    <w:tmpl w:val="5016F2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2E38F7"/>
    <w:multiLevelType w:val="multilevel"/>
    <w:tmpl w:val="47FCFEA6"/>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123040"/>
    <w:multiLevelType w:val="multilevel"/>
    <w:tmpl w:val="BB8EAE64"/>
    <w:lvl w:ilvl="0">
      <w:start w:val="12"/>
      <w:numFmt w:val="decimal"/>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6"/>
  </w:num>
  <w:num w:numId="4">
    <w:abstractNumId w:val="11"/>
  </w:num>
  <w:num w:numId="5">
    <w:abstractNumId w:val="3"/>
  </w:num>
  <w:num w:numId="6">
    <w:abstractNumId w:val="2"/>
  </w:num>
  <w:num w:numId="7">
    <w:abstractNumId w:val="12"/>
  </w:num>
  <w:num w:numId="8">
    <w:abstractNumId w:val="10"/>
  </w:num>
  <w:num w:numId="9">
    <w:abstractNumId w:val="5"/>
  </w:num>
  <w:num w:numId="10">
    <w:abstractNumId w:val="4"/>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A"/>
    <w:rsid w:val="00006C13"/>
    <w:rsid w:val="00025603"/>
    <w:rsid w:val="00031C9F"/>
    <w:rsid w:val="000677FA"/>
    <w:rsid w:val="000747B9"/>
    <w:rsid w:val="000847FA"/>
    <w:rsid w:val="00086555"/>
    <w:rsid w:val="00091C14"/>
    <w:rsid w:val="000B1708"/>
    <w:rsid w:val="000B421B"/>
    <w:rsid w:val="000B7B42"/>
    <w:rsid w:val="000F756B"/>
    <w:rsid w:val="001005B4"/>
    <w:rsid w:val="001167CF"/>
    <w:rsid w:val="00126BD2"/>
    <w:rsid w:val="0014401F"/>
    <w:rsid w:val="001614CF"/>
    <w:rsid w:val="00161F53"/>
    <w:rsid w:val="00180EB6"/>
    <w:rsid w:val="0018208D"/>
    <w:rsid w:val="001844C4"/>
    <w:rsid w:val="00184995"/>
    <w:rsid w:val="001902F0"/>
    <w:rsid w:val="001958CB"/>
    <w:rsid w:val="001B3289"/>
    <w:rsid w:val="001B6785"/>
    <w:rsid w:val="001B6DD6"/>
    <w:rsid w:val="001C2376"/>
    <w:rsid w:val="001E4854"/>
    <w:rsid w:val="001E6A96"/>
    <w:rsid w:val="001F74FD"/>
    <w:rsid w:val="00217262"/>
    <w:rsid w:val="00223A97"/>
    <w:rsid w:val="00230342"/>
    <w:rsid w:val="00241417"/>
    <w:rsid w:val="00246D42"/>
    <w:rsid w:val="0025176F"/>
    <w:rsid w:val="00252EA4"/>
    <w:rsid w:val="00254109"/>
    <w:rsid w:val="002622AF"/>
    <w:rsid w:val="0026272B"/>
    <w:rsid w:val="0027132E"/>
    <w:rsid w:val="00281210"/>
    <w:rsid w:val="002833CD"/>
    <w:rsid w:val="002A3952"/>
    <w:rsid w:val="002C673E"/>
    <w:rsid w:val="002C7CEF"/>
    <w:rsid w:val="002D27BA"/>
    <w:rsid w:val="002D45CD"/>
    <w:rsid w:val="002E218E"/>
    <w:rsid w:val="002F7AF3"/>
    <w:rsid w:val="00304694"/>
    <w:rsid w:val="00321A48"/>
    <w:rsid w:val="00322FBD"/>
    <w:rsid w:val="00334078"/>
    <w:rsid w:val="00334490"/>
    <w:rsid w:val="00362423"/>
    <w:rsid w:val="0036296A"/>
    <w:rsid w:val="00370D66"/>
    <w:rsid w:val="00374F0C"/>
    <w:rsid w:val="00376A5D"/>
    <w:rsid w:val="00380DB5"/>
    <w:rsid w:val="0038505E"/>
    <w:rsid w:val="00386619"/>
    <w:rsid w:val="003A012E"/>
    <w:rsid w:val="003A18D9"/>
    <w:rsid w:val="003B5139"/>
    <w:rsid w:val="003B5A11"/>
    <w:rsid w:val="003C11DC"/>
    <w:rsid w:val="003C62F6"/>
    <w:rsid w:val="003D3D25"/>
    <w:rsid w:val="003D403C"/>
    <w:rsid w:val="003E0527"/>
    <w:rsid w:val="003F3922"/>
    <w:rsid w:val="003F542F"/>
    <w:rsid w:val="00401BA8"/>
    <w:rsid w:val="004541E8"/>
    <w:rsid w:val="0045606B"/>
    <w:rsid w:val="00467A5E"/>
    <w:rsid w:val="00474954"/>
    <w:rsid w:val="00477BB1"/>
    <w:rsid w:val="00480AAD"/>
    <w:rsid w:val="00485BFB"/>
    <w:rsid w:val="00486CA0"/>
    <w:rsid w:val="00494668"/>
    <w:rsid w:val="00497E22"/>
    <w:rsid w:val="004A4B87"/>
    <w:rsid w:val="004B3E37"/>
    <w:rsid w:val="004E1194"/>
    <w:rsid w:val="004E2144"/>
    <w:rsid w:val="00501C4B"/>
    <w:rsid w:val="005316B8"/>
    <w:rsid w:val="005424E1"/>
    <w:rsid w:val="00561A3C"/>
    <w:rsid w:val="00565012"/>
    <w:rsid w:val="00570A1D"/>
    <w:rsid w:val="005778BC"/>
    <w:rsid w:val="005D4340"/>
    <w:rsid w:val="005E1AF2"/>
    <w:rsid w:val="005E1E56"/>
    <w:rsid w:val="005E3737"/>
    <w:rsid w:val="0060756A"/>
    <w:rsid w:val="006127AC"/>
    <w:rsid w:val="00612D33"/>
    <w:rsid w:val="00664821"/>
    <w:rsid w:val="00666414"/>
    <w:rsid w:val="0067742D"/>
    <w:rsid w:val="006B2263"/>
    <w:rsid w:val="006C0770"/>
    <w:rsid w:val="006D0E73"/>
    <w:rsid w:val="006D7E6B"/>
    <w:rsid w:val="00717082"/>
    <w:rsid w:val="007379C1"/>
    <w:rsid w:val="007505D6"/>
    <w:rsid w:val="00774674"/>
    <w:rsid w:val="00774A97"/>
    <w:rsid w:val="007905AD"/>
    <w:rsid w:val="007930A3"/>
    <w:rsid w:val="007A5644"/>
    <w:rsid w:val="007C7B7B"/>
    <w:rsid w:val="007D0943"/>
    <w:rsid w:val="007D0F72"/>
    <w:rsid w:val="007E4FD5"/>
    <w:rsid w:val="007F7C60"/>
    <w:rsid w:val="008069A4"/>
    <w:rsid w:val="00820C5D"/>
    <w:rsid w:val="00821444"/>
    <w:rsid w:val="00830303"/>
    <w:rsid w:val="00843DF2"/>
    <w:rsid w:val="008508D7"/>
    <w:rsid w:val="00850BFE"/>
    <w:rsid w:val="00857B68"/>
    <w:rsid w:val="008634AF"/>
    <w:rsid w:val="00863633"/>
    <w:rsid w:val="00871AF1"/>
    <w:rsid w:val="0087738F"/>
    <w:rsid w:val="008773BA"/>
    <w:rsid w:val="00884582"/>
    <w:rsid w:val="00891B9F"/>
    <w:rsid w:val="008B0A9E"/>
    <w:rsid w:val="008F306F"/>
    <w:rsid w:val="009143FD"/>
    <w:rsid w:val="009373F3"/>
    <w:rsid w:val="00967535"/>
    <w:rsid w:val="00971EBF"/>
    <w:rsid w:val="00972CE0"/>
    <w:rsid w:val="009C6A25"/>
    <w:rsid w:val="009E052A"/>
    <w:rsid w:val="009E20BE"/>
    <w:rsid w:val="009E3A62"/>
    <w:rsid w:val="009F6E50"/>
    <w:rsid w:val="00A01BD3"/>
    <w:rsid w:val="00A05056"/>
    <w:rsid w:val="00A06C8A"/>
    <w:rsid w:val="00A1108B"/>
    <w:rsid w:val="00A11554"/>
    <w:rsid w:val="00A1352A"/>
    <w:rsid w:val="00A24309"/>
    <w:rsid w:val="00A26563"/>
    <w:rsid w:val="00A26AEC"/>
    <w:rsid w:val="00A37271"/>
    <w:rsid w:val="00A37DD3"/>
    <w:rsid w:val="00A55D54"/>
    <w:rsid w:val="00A57124"/>
    <w:rsid w:val="00A61376"/>
    <w:rsid w:val="00A64099"/>
    <w:rsid w:val="00A65DB1"/>
    <w:rsid w:val="00A71739"/>
    <w:rsid w:val="00A73DD3"/>
    <w:rsid w:val="00A82548"/>
    <w:rsid w:val="00A904C4"/>
    <w:rsid w:val="00AA687A"/>
    <w:rsid w:val="00AA6A0C"/>
    <w:rsid w:val="00AC6B3C"/>
    <w:rsid w:val="00AE33B7"/>
    <w:rsid w:val="00AE42A9"/>
    <w:rsid w:val="00AE59C7"/>
    <w:rsid w:val="00B0636E"/>
    <w:rsid w:val="00B161C1"/>
    <w:rsid w:val="00B332D3"/>
    <w:rsid w:val="00B33D70"/>
    <w:rsid w:val="00B370ED"/>
    <w:rsid w:val="00B4367E"/>
    <w:rsid w:val="00B56A2B"/>
    <w:rsid w:val="00B64B1B"/>
    <w:rsid w:val="00B7777D"/>
    <w:rsid w:val="00B83C08"/>
    <w:rsid w:val="00B84002"/>
    <w:rsid w:val="00B8793F"/>
    <w:rsid w:val="00BA587C"/>
    <w:rsid w:val="00BD186A"/>
    <w:rsid w:val="00BF0168"/>
    <w:rsid w:val="00BF4353"/>
    <w:rsid w:val="00BF7CF2"/>
    <w:rsid w:val="00C04F00"/>
    <w:rsid w:val="00C07C5B"/>
    <w:rsid w:val="00C102A5"/>
    <w:rsid w:val="00C174B2"/>
    <w:rsid w:val="00C320D5"/>
    <w:rsid w:val="00C37DE0"/>
    <w:rsid w:val="00C64DB5"/>
    <w:rsid w:val="00C70E19"/>
    <w:rsid w:val="00CA102F"/>
    <w:rsid w:val="00CB682C"/>
    <w:rsid w:val="00CC0784"/>
    <w:rsid w:val="00CC1DD7"/>
    <w:rsid w:val="00CD2935"/>
    <w:rsid w:val="00CD42D2"/>
    <w:rsid w:val="00CE4F47"/>
    <w:rsid w:val="00CF5FAE"/>
    <w:rsid w:val="00CF68E2"/>
    <w:rsid w:val="00D021A3"/>
    <w:rsid w:val="00D04817"/>
    <w:rsid w:val="00D06C76"/>
    <w:rsid w:val="00D301FC"/>
    <w:rsid w:val="00D31EAE"/>
    <w:rsid w:val="00D408CA"/>
    <w:rsid w:val="00D53F5F"/>
    <w:rsid w:val="00D5449C"/>
    <w:rsid w:val="00D762DD"/>
    <w:rsid w:val="00DB199B"/>
    <w:rsid w:val="00DC61D6"/>
    <w:rsid w:val="00DD0573"/>
    <w:rsid w:val="00DF554D"/>
    <w:rsid w:val="00E10A9A"/>
    <w:rsid w:val="00E16F70"/>
    <w:rsid w:val="00E236C0"/>
    <w:rsid w:val="00E43308"/>
    <w:rsid w:val="00E77750"/>
    <w:rsid w:val="00E80211"/>
    <w:rsid w:val="00EA000F"/>
    <w:rsid w:val="00EA37B6"/>
    <w:rsid w:val="00ED2BBB"/>
    <w:rsid w:val="00ED32C0"/>
    <w:rsid w:val="00ED4393"/>
    <w:rsid w:val="00ED6742"/>
    <w:rsid w:val="00ED7EFC"/>
    <w:rsid w:val="00EE5F6A"/>
    <w:rsid w:val="00EF2613"/>
    <w:rsid w:val="00EF379C"/>
    <w:rsid w:val="00EF7875"/>
    <w:rsid w:val="00F160A1"/>
    <w:rsid w:val="00F235E4"/>
    <w:rsid w:val="00F24629"/>
    <w:rsid w:val="00F35B89"/>
    <w:rsid w:val="00F44172"/>
    <w:rsid w:val="00F5435A"/>
    <w:rsid w:val="00F850AC"/>
    <w:rsid w:val="00F909AD"/>
    <w:rsid w:val="00F931DB"/>
    <w:rsid w:val="00FA1552"/>
    <w:rsid w:val="00FB4D71"/>
    <w:rsid w:val="00FB5331"/>
    <w:rsid w:val="00FB5D83"/>
    <w:rsid w:val="00FB611D"/>
    <w:rsid w:val="00FD3579"/>
    <w:rsid w:val="00FE5A59"/>
    <w:rsid w:val="00FF77D2"/>
    <w:rsid w:val="00FF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549A5-4199-4E32-92BD-301933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6D42"/>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8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086555"/>
    <w:pPr>
      <w:ind w:left="720"/>
      <w:contextualSpacing/>
    </w:pPr>
  </w:style>
  <w:style w:type="numbering" w:customStyle="1" w:styleId="Style1">
    <w:name w:val="Style1"/>
    <w:uiPriority w:val="99"/>
    <w:rsid w:val="00ED2BBB"/>
    <w:pPr>
      <w:numPr>
        <w:numId w:val="4"/>
      </w:numPr>
    </w:pPr>
  </w:style>
  <w:style w:type="paragraph" w:styleId="Galvene">
    <w:name w:val="header"/>
    <w:basedOn w:val="Parasts"/>
    <w:link w:val="GalveneRakstz"/>
    <w:uiPriority w:val="99"/>
    <w:unhideWhenUsed/>
    <w:rsid w:val="00A11554"/>
    <w:pPr>
      <w:tabs>
        <w:tab w:val="center" w:pos="4153"/>
        <w:tab w:val="right" w:pos="8306"/>
      </w:tabs>
    </w:pPr>
  </w:style>
  <w:style w:type="character" w:customStyle="1" w:styleId="GalveneRakstz">
    <w:name w:val="Galvene Rakstz."/>
    <w:link w:val="Galvene"/>
    <w:uiPriority w:val="99"/>
    <w:rsid w:val="00A11554"/>
    <w:rPr>
      <w:lang w:val="lv-LV"/>
    </w:rPr>
  </w:style>
  <w:style w:type="paragraph" w:styleId="Kjene">
    <w:name w:val="footer"/>
    <w:basedOn w:val="Parasts"/>
    <w:link w:val="KjeneRakstz"/>
    <w:uiPriority w:val="99"/>
    <w:unhideWhenUsed/>
    <w:rsid w:val="00A11554"/>
    <w:pPr>
      <w:tabs>
        <w:tab w:val="center" w:pos="4153"/>
        <w:tab w:val="right" w:pos="8306"/>
      </w:tabs>
    </w:pPr>
  </w:style>
  <w:style w:type="character" w:customStyle="1" w:styleId="KjeneRakstz">
    <w:name w:val="Kājene Rakstz."/>
    <w:link w:val="Kjene"/>
    <w:uiPriority w:val="99"/>
    <w:rsid w:val="00A11554"/>
    <w:rPr>
      <w:lang w:val="lv-LV"/>
    </w:rPr>
  </w:style>
  <w:style w:type="paragraph" w:styleId="Balonteksts">
    <w:name w:val="Balloon Text"/>
    <w:basedOn w:val="Parasts"/>
    <w:link w:val="BalontekstsRakstz"/>
    <w:uiPriority w:val="99"/>
    <w:semiHidden/>
    <w:unhideWhenUsed/>
    <w:rsid w:val="00AE33B7"/>
    <w:rPr>
      <w:rFonts w:ascii="Segoe UI" w:hAnsi="Segoe UI" w:cs="Segoe UI"/>
      <w:sz w:val="18"/>
      <w:szCs w:val="18"/>
    </w:rPr>
  </w:style>
  <w:style w:type="character" w:customStyle="1" w:styleId="BalontekstsRakstz">
    <w:name w:val="Balonteksts Rakstz."/>
    <w:link w:val="Balonteksts"/>
    <w:uiPriority w:val="99"/>
    <w:semiHidden/>
    <w:rsid w:val="00AE33B7"/>
    <w:rPr>
      <w:rFonts w:ascii="Segoe UI" w:hAnsi="Segoe UI" w:cs="Segoe UI"/>
      <w:sz w:val="18"/>
      <w:szCs w:val="18"/>
      <w:lang w:val="lv-LV"/>
    </w:rPr>
  </w:style>
  <w:style w:type="paragraph" w:customStyle="1" w:styleId="naisf">
    <w:name w:val="naisf"/>
    <w:basedOn w:val="Parasts"/>
    <w:rsid w:val="00CD42D2"/>
    <w:pPr>
      <w:spacing w:before="75" w:after="75"/>
      <w:ind w:firstLine="375"/>
      <w:jc w:val="both"/>
    </w:pPr>
    <w:rPr>
      <w:rFonts w:eastAsia="Times New Roman"/>
      <w:szCs w:val="24"/>
      <w:lang w:eastAsia="lv-LV"/>
    </w:rPr>
  </w:style>
  <w:style w:type="paragraph" w:customStyle="1" w:styleId="Default">
    <w:name w:val="Default"/>
    <w:rsid w:val="00CD42D2"/>
    <w:pPr>
      <w:autoSpaceDE w:val="0"/>
      <w:autoSpaceDN w:val="0"/>
      <w:adjustRightInd w:val="0"/>
    </w:pPr>
    <w:rPr>
      <w:color w:val="000000"/>
      <w:sz w:val="24"/>
      <w:szCs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2C67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08847">
      <w:bodyDiv w:val="1"/>
      <w:marLeft w:val="0"/>
      <w:marRight w:val="0"/>
      <w:marTop w:val="0"/>
      <w:marBottom w:val="0"/>
      <w:divBdr>
        <w:top w:val="none" w:sz="0" w:space="0" w:color="auto"/>
        <w:left w:val="none" w:sz="0" w:space="0" w:color="auto"/>
        <w:bottom w:val="none" w:sz="0" w:space="0" w:color="auto"/>
        <w:right w:val="none" w:sz="0" w:space="0" w:color="auto"/>
      </w:divBdr>
      <w:divsChild>
        <w:div w:id="300621740">
          <w:marLeft w:val="0"/>
          <w:marRight w:val="0"/>
          <w:marTop w:val="0"/>
          <w:marBottom w:val="0"/>
          <w:divBdr>
            <w:top w:val="none" w:sz="0" w:space="0" w:color="auto"/>
            <w:left w:val="none" w:sz="0" w:space="0" w:color="auto"/>
            <w:bottom w:val="none" w:sz="0" w:space="0" w:color="auto"/>
            <w:right w:val="none" w:sz="0" w:space="0" w:color="auto"/>
          </w:divBdr>
        </w:div>
        <w:div w:id="397477948">
          <w:marLeft w:val="0"/>
          <w:marRight w:val="0"/>
          <w:marTop w:val="0"/>
          <w:marBottom w:val="0"/>
          <w:divBdr>
            <w:top w:val="none" w:sz="0" w:space="0" w:color="auto"/>
            <w:left w:val="none" w:sz="0" w:space="0" w:color="auto"/>
            <w:bottom w:val="none" w:sz="0" w:space="0" w:color="auto"/>
            <w:right w:val="none" w:sz="0" w:space="0" w:color="auto"/>
          </w:divBdr>
        </w:div>
        <w:div w:id="1330207330">
          <w:marLeft w:val="0"/>
          <w:marRight w:val="0"/>
          <w:marTop w:val="0"/>
          <w:marBottom w:val="0"/>
          <w:divBdr>
            <w:top w:val="none" w:sz="0" w:space="0" w:color="auto"/>
            <w:left w:val="none" w:sz="0" w:space="0" w:color="auto"/>
            <w:bottom w:val="none" w:sz="0" w:space="0" w:color="auto"/>
            <w:right w:val="none" w:sz="0" w:space="0" w:color="auto"/>
          </w:divBdr>
        </w:div>
        <w:div w:id="1752191349">
          <w:marLeft w:val="0"/>
          <w:marRight w:val="0"/>
          <w:marTop w:val="0"/>
          <w:marBottom w:val="0"/>
          <w:divBdr>
            <w:top w:val="none" w:sz="0" w:space="0" w:color="auto"/>
            <w:left w:val="none" w:sz="0" w:space="0" w:color="auto"/>
            <w:bottom w:val="none" w:sz="0" w:space="0" w:color="auto"/>
            <w:right w:val="none" w:sz="0" w:space="0" w:color="auto"/>
          </w:divBdr>
        </w:div>
      </w:divsChild>
    </w:div>
    <w:div w:id="1175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7123</Words>
  <Characters>4061</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Dace Tauriņa</cp:lastModifiedBy>
  <cp:revision>47</cp:revision>
  <cp:lastPrinted>2020-03-02T11:06:00Z</cp:lastPrinted>
  <dcterms:created xsi:type="dcterms:W3CDTF">2020-02-14T08:20:00Z</dcterms:created>
  <dcterms:modified xsi:type="dcterms:W3CDTF">2021-03-29T12:34:00Z</dcterms:modified>
</cp:coreProperties>
</file>