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03" w:rsidRPr="00DA6D0C" w:rsidRDefault="00937703" w:rsidP="00DA6D0C">
      <w:pPr>
        <w:rPr>
          <w:rFonts w:eastAsia="Calibri"/>
          <w:b/>
          <w:bCs/>
        </w:rPr>
      </w:pPr>
    </w:p>
    <w:p w:rsidR="00DA6D0C" w:rsidRPr="00DA6D0C" w:rsidRDefault="00DA6D0C" w:rsidP="00DA6D0C">
      <w:pPr>
        <w:jc w:val="center"/>
        <w:rPr>
          <w:b/>
          <w:sz w:val="28"/>
          <w:szCs w:val="28"/>
        </w:rPr>
      </w:pPr>
      <w:r w:rsidRPr="00DA6D0C">
        <w:rPr>
          <w:b/>
          <w:sz w:val="28"/>
          <w:szCs w:val="28"/>
        </w:rPr>
        <w:t>NOTEIKUMI</w:t>
      </w:r>
    </w:p>
    <w:p w:rsidR="00467786" w:rsidRPr="00DA6D0C" w:rsidRDefault="00467786" w:rsidP="00DA6D0C">
      <w:pPr>
        <w:jc w:val="center"/>
      </w:pPr>
      <w:r w:rsidRPr="00DA6D0C">
        <w:t>Limbažos</w:t>
      </w:r>
    </w:p>
    <w:p w:rsidR="00467786" w:rsidRPr="00DA6D0C" w:rsidRDefault="00467786" w:rsidP="00DA6D0C">
      <w:pPr>
        <w:tabs>
          <w:tab w:val="left" w:pos="9072"/>
        </w:tabs>
      </w:pPr>
      <w:r w:rsidRPr="00DA6D0C">
        <w:t xml:space="preserve">2016.gada </w:t>
      </w:r>
      <w:r w:rsidR="00DA6D0C" w:rsidRPr="00DA6D0C">
        <w:t xml:space="preserve">22.jūnijā </w:t>
      </w:r>
      <w:r w:rsidR="00DA6D0C" w:rsidRPr="00DA6D0C">
        <w:tab/>
        <w:t>Nr.12</w:t>
      </w:r>
    </w:p>
    <w:p w:rsidR="00937703" w:rsidRPr="00DA6D0C" w:rsidRDefault="00937703" w:rsidP="00DA6D0C">
      <w:pPr>
        <w:tabs>
          <w:tab w:val="left" w:pos="9072"/>
        </w:tabs>
        <w:rPr>
          <w:sz w:val="20"/>
          <w:szCs w:val="20"/>
        </w:rPr>
      </w:pPr>
    </w:p>
    <w:p w:rsidR="00467786" w:rsidRPr="00DA6D0C" w:rsidRDefault="00467786" w:rsidP="00DA6D0C">
      <w:pPr>
        <w:jc w:val="right"/>
      </w:pPr>
      <w:r w:rsidRPr="00DA6D0C">
        <w:rPr>
          <w:b/>
        </w:rPr>
        <w:t>APSTIPRINĀT</w:t>
      </w:r>
      <w:r w:rsidR="00DA6D0C">
        <w:rPr>
          <w:b/>
        </w:rPr>
        <w:t>I</w:t>
      </w:r>
    </w:p>
    <w:p w:rsidR="00467786" w:rsidRPr="00DA6D0C" w:rsidRDefault="00467786" w:rsidP="00DA6D0C">
      <w:pPr>
        <w:jc w:val="right"/>
      </w:pPr>
      <w:r w:rsidRPr="00DA6D0C">
        <w:t>ar Limbažu novada domes</w:t>
      </w:r>
    </w:p>
    <w:p w:rsidR="00467786" w:rsidRPr="00DA6D0C" w:rsidRDefault="00DA6D0C" w:rsidP="00DA6D0C">
      <w:pPr>
        <w:jc w:val="right"/>
      </w:pPr>
      <w:r w:rsidRPr="00DA6D0C">
        <w:t>22.06</w:t>
      </w:r>
      <w:r w:rsidR="00467786" w:rsidRPr="00DA6D0C">
        <w:t>.2016. sēdes lēmumu</w:t>
      </w:r>
    </w:p>
    <w:p w:rsidR="00DA6D0C" w:rsidRDefault="00DA6D0C" w:rsidP="00DA6D0C">
      <w:pPr>
        <w:jc w:val="right"/>
      </w:pPr>
      <w:r w:rsidRPr="00DA6D0C">
        <w:t>(protokols Nr.13, 39</w:t>
      </w:r>
      <w:r w:rsidR="00467786" w:rsidRPr="00DA6D0C">
        <w:t>.§)</w:t>
      </w:r>
    </w:p>
    <w:p w:rsidR="00DA6D0C" w:rsidRPr="008E0E0A" w:rsidRDefault="00DA6D0C" w:rsidP="00DA6D0C">
      <w:pPr>
        <w:jc w:val="right"/>
        <w:rPr>
          <w:sz w:val="20"/>
          <w:szCs w:val="20"/>
        </w:rPr>
      </w:pPr>
    </w:p>
    <w:p w:rsidR="00DA6D0C" w:rsidRPr="00DA6D0C" w:rsidRDefault="00DA6D0C" w:rsidP="00DA6D0C">
      <w:pPr>
        <w:jc w:val="center"/>
        <w:rPr>
          <w:b/>
          <w:sz w:val="28"/>
          <w:szCs w:val="28"/>
        </w:rPr>
      </w:pPr>
      <w:r w:rsidRPr="00DA6D0C">
        <w:rPr>
          <w:b/>
          <w:sz w:val="28"/>
          <w:szCs w:val="28"/>
        </w:rPr>
        <w:t>Limbažu novada pašvaldības, tās iestāžu un struktūrvienību sniegto maksas pakalpojumu izcenojumu aprēķināšanas metodika un izc</w:t>
      </w:r>
      <w:r>
        <w:rPr>
          <w:b/>
          <w:sz w:val="28"/>
          <w:szCs w:val="28"/>
        </w:rPr>
        <w:t>enojumu apstiprināšanas kārtība</w:t>
      </w:r>
    </w:p>
    <w:p w:rsidR="00DA6D0C" w:rsidRPr="008E0E0A" w:rsidRDefault="00DA6D0C" w:rsidP="00DA6D0C">
      <w:pPr>
        <w:pStyle w:val="Bodytext40"/>
        <w:shd w:val="clear" w:color="auto" w:fill="auto"/>
        <w:spacing w:before="0" w:line="240" w:lineRule="auto"/>
        <w:ind w:left="5060"/>
        <w:jc w:val="right"/>
        <w:rPr>
          <w:rFonts w:ascii="Times New Roman" w:hAnsi="Times New Roman" w:cs="Times New Roman"/>
          <w:sz w:val="20"/>
          <w:szCs w:val="20"/>
          <w:lang w:bidi="lv-LV"/>
        </w:rPr>
      </w:pPr>
    </w:p>
    <w:p w:rsidR="00DA6D0C" w:rsidRDefault="00DA6D0C" w:rsidP="00DA6D0C">
      <w:pPr>
        <w:pStyle w:val="Bodytext40"/>
        <w:shd w:val="clear" w:color="auto" w:fill="auto"/>
        <w:spacing w:before="0" w:line="240" w:lineRule="auto"/>
        <w:ind w:left="4678"/>
        <w:jc w:val="right"/>
        <w:rPr>
          <w:rFonts w:ascii="Times New Roman" w:hAnsi="Times New Roman" w:cs="Times New Roman"/>
          <w:lang w:bidi="lv-LV"/>
        </w:rPr>
      </w:pPr>
      <w:r w:rsidRPr="00DA6D0C">
        <w:rPr>
          <w:rFonts w:ascii="Times New Roman" w:hAnsi="Times New Roman" w:cs="Times New Roman"/>
          <w:lang w:bidi="lv-LV"/>
        </w:rPr>
        <w:t xml:space="preserve">Izdoti saskaņā ar </w:t>
      </w:r>
    </w:p>
    <w:p w:rsidR="00DA6D0C" w:rsidRDefault="00DA6D0C" w:rsidP="00DA6D0C">
      <w:pPr>
        <w:pStyle w:val="Bodytext40"/>
        <w:shd w:val="clear" w:color="auto" w:fill="auto"/>
        <w:spacing w:before="0" w:line="240" w:lineRule="auto"/>
        <w:ind w:left="4678"/>
        <w:jc w:val="right"/>
        <w:rPr>
          <w:rFonts w:ascii="Times New Roman" w:hAnsi="Times New Roman" w:cs="Times New Roman"/>
          <w:lang w:bidi="lv-LV"/>
        </w:rPr>
      </w:pPr>
      <w:r w:rsidRPr="00DA6D0C">
        <w:rPr>
          <w:rFonts w:ascii="Times New Roman" w:hAnsi="Times New Roman" w:cs="Times New Roman"/>
          <w:lang w:bidi="lv-LV"/>
        </w:rPr>
        <w:t>Valsts pārvaldes i</w:t>
      </w:r>
      <w:r>
        <w:rPr>
          <w:rFonts w:ascii="Times New Roman" w:hAnsi="Times New Roman" w:cs="Times New Roman"/>
          <w:lang w:bidi="lv-LV"/>
        </w:rPr>
        <w:t xml:space="preserve">ekārtas likuma 72.panta ceturto </w:t>
      </w:r>
      <w:r w:rsidRPr="00DA6D0C">
        <w:rPr>
          <w:rFonts w:ascii="Times New Roman" w:hAnsi="Times New Roman" w:cs="Times New Roman"/>
          <w:lang w:bidi="lv-LV"/>
        </w:rPr>
        <w:t>daļu;</w:t>
      </w:r>
    </w:p>
    <w:p w:rsidR="00DA6D0C" w:rsidRPr="00DA6D0C" w:rsidRDefault="00DA6D0C" w:rsidP="00DA6D0C">
      <w:pPr>
        <w:pStyle w:val="Bodytext40"/>
        <w:shd w:val="clear" w:color="auto" w:fill="auto"/>
        <w:spacing w:before="0" w:line="240" w:lineRule="auto"/>
        <w:ind w:left="4678"/>
        <w:jc w:val="right"/>
        <w:rPr>
          <w:rFonts w:ascii="Times New Roman" w:hAnsi="Times New Roman" w:cs="Times New Roman"/>
        </w:rPr>
      </w:pPr>
      <w:r w:rsidRPr="00DA6D0C">
        <w:rPr>
          <w:rFonts w:ascii="Times New Roman" w:hAnsi="Times New Roman" w:cs="Times New Roman"/>
          <w:lang w:bidi="lv-LV"/>
        </w:rPr>
        <w:t xml:space="preserve"> likuma „Par pašvaldībām”</w:t>
      </w:r>
      <w:r>
        <w:rPr>
          <w:rFonts w:ascii="Times New Roman" w:hAnsi="Times New Roman" w:cs="Times New Roman"/>
        </w:rPr>
        <w:t xml:space="preserve"> </w:t>
      </w:r>
      <w:r>
        <w:rPr>
          <w:rFonts w:ascii="Times New Roman" w:hAnsi="Times New Roman" w:cs="Times New Roman"/>
          <w:lang w:bidi="lv-LV"/>
        </w:rPr>
        <w:t>41.panta 2.punktu</w:t>
      </w:r>
    </w:p>
    <w:p w:rsidR="00DA6D0C" w:rsidRPr="008E0E0A" w:rsidRDefault="00DA6D0C" w:rsidP="00DA6D0C">
      <w:pPr>
        <w:jc w:val="both"/>
        <w:rPr>
          <w:b/>
          <w:sz w:val="20"/>
          <w:szCs w:val="20"/>
        </w:rPr>
      </w:pPr>
    </w:p>
    <w:p w:rsidR="00DA6D0C" w:rsidRPr="00DA6D0C" w:rsidRDefault="00DA6D0C" w:rsidP="00DA6D0C">
      <w:pPr>
        <w:numPr>
          <w:ilvl w:val="0"/>
          <w:numId w:val="3"/>
        </w:numPr>
        <w:ind w:left="567" w:hanging="567"/>
        <w:jc w:val="center"/>
        <w:rPr>
          <w:b/>
          <w:bCs/>
        </w:rPr>
      </w:pPr>
      <w:bookmarkStart w:id="0" w:name="n1"/>
      <w:bookmarkEnd w:id="0"/>
      <w:r w:rsidRPr="00DA6D0C">
        <w:rPr>
          <w:b/>
          <w:bCs/>
        </w:rPr>
        <w:t>Vispārīgie jautājumi</w:t>
      </w:r>
    </w:p>
    <w:p w:rsidR="00DA6D0C" w:rsidRPr="008E0E0A" w:rsidRDefault="00DA6D0C" w:rsidP="00DA6D0C">
      <w:pPr>
        <w:jc w:val="center"/>
        <w:rPr>
          <w:sz w:val="20"/>
          <w:szCs w:val="20"/>
        </w:rPr>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 w:name="p1"/>
      <w:bookmarkStart w:id="2" w:name="p-394240"/>
      <w:bookmarkEnd w:id="1"/>
      <w:bookmarkEnd w:id="2"/>
      <w:r w:rsidRPr="00DA6D0C">
        <w:rPr>
          <w:rFonts w:ascii="Times New Roman" w:hAnsi="Times New Roman" w:cs="Times New Roman"/>
          <w:sz w:val="24"/>
          <w:szCs w:val="24"/>
          <w:lang w:bidi="lv-LV"/>
        </w:rPr>
        <w:t xml:space="preserve">Noteikumi nosaka kārtību, kādā Limbažu novada pašvaldības institūcijām plānojami, izstrādājami un uzskaitāmi ieņēmumi </w:t>
      </w:r>
      <w:bookmarkStart w:id="3" w:name="_GoBack"/>
      <w:bookmarkEnd w:id="3"/>
      <w:r w:rsidRPr="00DA6D0C">
        <w:rPr>
          <w:rFonts w:ascii="Times New Roman" w:hAnsi="Times New Roman" w:cs="Times New Roman"/>
          <w:sz w:val="24"/>
          <w:szCs w:val="24"/>
          <w:lang w:bidi="lv-LV"/>
        </w:rPr>
        <w:t>no sniegtajiem maksas pakalpojumiem un ar šo pakalpojumu sniegšanu saistītie izdevumi.</w:t>
      </w:r>
    </w:p>
    <w:p w:rsidR="00DA6D0C" w:rsidRDefault="00DA6D0C" w:rsidP="00DA6D0C">
      <w:pPr>
        <w:pStyle w:val="Bodytext20"/>
        <w:numPr>
          <w:ilvl w:val="1"/>
          <w:numId w:val="3"/>
        </w:numPr>
        <w:shd w:val="clear" w:color="auto" w:fill="auto"/>
        <w:tabs>
          <w:tab w:val="left" w:pos="351"/>
        </w:tabs>
        <w:spacing w:before="0" w:line="240" w:lineRule="auto"/>
        <w:ind w:left="567"/>
        <w:jc w:val="both"/>
        <w:rPr>
          <w:rFonts w:ascii="Times New Roman" w:hAnsi="Times New Roman" w:cs="Times New Roman"/>
          <w:sz w:val="24"/>
          <w:szCs w:val="24"/>
        </w:rPr>
      </w:pPr>
      <w:r w:rsidRPr="00DA6D0C">
        <w:rPr>
          <w:rFonts w:ascii="Times New Roman" w:hAnsi="Times New Roman" w:cs="Times New Roman"/>
          <w:sz w:val="24"/>
          <w:szCs w:val="24"/>
          <w:lang w:bidi="lv-LV"/>
        </w:rPr>
        <w:t>Noteikumu mērķis ir noteikt vienotu, sistematizētu un skaidri saprotamu ekonomiski pamatotu kārtību maksas pakalpojumu izcenojumu noteikšanai.</w:t>
      </w:r>
    </w:p>
    <w:p w:rsidR="00DA6D0C" w:rsidRPr="00DA6D0C" w:rsidRDefault="00DA6D0C" w:rsidP="00DA6D0C">
      <w:pPr>
        <w:pStyle w:val="Bodytext20"/>
        <w:shd w:val="clear" w:color="auto" w:fill="auto"/>
        <w:tabs>
          <w:tab w:val="left" w:pos="351"/>
        </w:tabs>
        <w:spacing w:before="0" w:line="240" w:lineRule="auto"/>
        <w:ind w:left="709" w:firstLine="0"/>
        <w:jc w:val="both"/>
        <w:rPr>
          <w:rFonts w:ascii="Times New Roman" w:hAnsi="Times New Roman" w:cs="Times New Roman"/>
          <w:sz w:val="24"/>
          <w:szCs w:val="24"/>
        </w:rPr>
      </w:pPr>
    </w:p>
    <w:p w:rsidR="00DA6D0C" w:rsidRDefault="00DA6D0C" w:rsidP="00DA6D0C">
      <w:pPr>
        <w:numPr>
          <w:ilvl w:val="0"/>
          <w:numId w:val="3"/>
        </w:numPr>
        <w:ind w:left="567" w:hanging="567"/>
        <w:jc w:val="center"/>
        <w:rPr>
          <w:b/>
          <w:lang w:bidi="lv-LV"/>
        </w:rPr>
      </w:pPr>
      <w:r w:rsidRPr="00DA6D0C">
        <w:rPr>
          <w:b/>
          <w:lang w:bidi="lv-LV"/>
        </w:rPr>
        <w:t>Ieņēmumu un izdevumu plānošana un uzskaite</w:t>
      </w:r>
    </w:p>
    <w:p w:rsidR="00DA6D0C" w:rsidRPr="00DA6D0C" w:rsidRDefault="00DA6D0C" w:rsidP="00DA6D0C">
      <w:pPr>
        <w:pStyle w:val="Bodytext20"/>
        <w:shd w:val="clear" w:color="auto" w:fill="auto"/>
        <w:tabs>
          <w:tab w:val="left" w:pos="0"/>
        </w:tabs>
        <w:spacing w:before="0" w:line="240" w:lineRule="auto"/>
        <w:ind w:left="567" w:firstLine="0"/>
        <w:jc w:val="both"/>
        <w:rPr>
          <w:rFonts w:ascii="Times New Roman" w:hAnsi="Times New Roman" w:cs="Times New Roman"/>
          <w:b/>
          <w:sz w:val="24"/>
          <w:szCs w:val="24"/>
          <w:lang w:bidi="lv-LV"/>
        </w:rPr>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r w:rsidRPr="00DA6D0C">
        <w:rPr>
          <w:rFonts w:ascii="Times New Roman" w:hAnsi="Times New Roman" w:cs="Times New Roman"/>
          <w:sz w:val="24"/>
          <w:szCs w:val="24"/>
          <w:lang w:bidi="lv-LV"/>
        </w:rPr>
        <w:t>Pašvaldības institūcijas plāno tādus maksas pakalpojumus, pēc kuriem ir pieprasījums un atsakās no tādiem, pēc kuriem pieprasījuma nav.</w:t>
      </w:r>
    </w:p>
    <w:p w:rsid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bidi="lv-LV"/>
        </w:rPr>
      </w:pPr>
      <w:r w:rsidRPr="00DA6D0C">
        <w:rPr>
          <w:rFonts w:ascii="Times New Roman" w:hAnsi="Times New Roman" w:cs="Times New Roman"/>
          <w:sz w:val="24"/>
          <w:szCs w:val="24"/>
          <w:lang w:bidi="lv-LV"/>
        </w:rPr>
        <w:t>Ieņēmumu apjomu no sniegtajiem maksas pakalpojumiem pašvaldības institūcijas plāno kārtējam budžeta gadam, ņemot vērā katram maksas pakalpojuma veidam apstiprināto cenu (ar pievienotās vērtības nodokli, ja tāds tiek piemērots) un prognozēto sniegto maksas pakalpojumu apjomu.</w:t>
      </w:r>
    </w:p>
    <w:p w:rsid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bidi="lv-LV"/>
        </w:rPr>
      </w:pPr>
      <w:r w:rsidRPr="00DA6D0C">
        <w:rPr>
          <w:rFonts w:ascii="Times New Roman" w:hAnsi="Times New Roman" w:cs="Times New Roman"/>
          <w:sz w:val="24"/>
          <w:szCs w:val="24"/>
          <w:lang w:bidi="lv-LV"/>
        </w:rPr>
        <w:t xml:space="preserve">Ar izpilddirektora rīkojumu noteiktās izglītības, kultūras un sociālo pakalpojumu iestādes un struktūrvienības ieņēmumus no sniegtajiem maksas pakalpojumiem plāno un uzskaita katrai iestādei atsevišķi kā pamatbudžeta veidu, piemērojot finansējuma pazīmi </w:t>
      </w:r>
      <w:r w:rsidR="00175DEE" w:rsidRPr="00175DEE">
        <w:rPr>
          <w:rFonts w:ascii="Times New Roman" w:hAnsi="Times New Roman" w:cs="Times New Roman"/>
          <w:sz w:val="24"/>
          <w:szCs w:val="24"/>
          <w:lang w:bidi="lv-LV"/>
        </w:rPr>
        <w:t>„</w:t>
      </w:r>
      <w:r w:rsidRPr="00175DEE">
        <w:rPr>
          <w:rFonts w:ascii="Times New Roman" w:hAnsi="Times New Roman" w:cs="Times New Roman"/>
          <w:sz w:val="24"/>
          <w:szCs w:val="24"/>
          <w:lang w:bidi="lv-LV"/>
        </w:rPr>
        <w:t>m</w:t>
      </w:r>
      <w:r w:rsidRPr="00DA6D0C">
        <w:rPr>
          <w:rFonts w:ascii="Times New Roman" w:hAnsi="Times New Roman" w:cs="Times New Roman"/>
          <w:sz w:val="24"/>
          <w:szCs w:val="24"/>
          <w:lang w:bidi="lv-LV"/>
        </w:rPr>
        <w:t xml:space="preserve">aksas pakalpojumu budžets”. </w:t>
      </w:r>
    </w:p>
    <w:p w:rsid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bidi="lv-LV"/>
        </w:rPr>
      </w:pPr>
      <w:r w:rsidRPr="00DA6D0C">
        <w:rPr>
          <w:rFonts w:ascii="Times New Roman" w:hAnsi="Times New Roman" w:cs="Times New Roman"/>
          <w:sz w:val="24"/>
          <w:szCs w:val="24"/>
          <w:lang w:bidi="lv-LV"/>
        </w:rPr>
        <w:t>Ieņēmumi no pārējiem maksas pakalpojumiem tiek atspoguļoti kopējā pa</w:t>
      </w:r>
      <w:r w:rsidR="00175DEE">
        <w:rPr>
          <w:rFonts w:ascii="Times New Roman" w:hAnsi="Times New Roman" w:cs="Times New Roman"/>
          <w:sz w:val="24"/>
          <w:szCs w:val="24"/>
          <w:lang w:bidi="lv-LV"/>
        </w:rPr>
        <w:t>švaldības budžetā ieņēmumu daļā</w:t>
      </w:r>
      <w:r w:rsidRPr="00DA6D0C">
        <w:rPr>
          <w:rFonts w:ascii="Times New Roman" w:hAnsi="Times New Roman" w:cs="Times New Roman"/>
          <w:sz w:val="24"/>
          <w:szCs w:val="24"/>
          <w:lang w:bidi="lv-LV"/>
        </w:rPr>
        <w:t>.</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bidi="lv-LV"/>
        </w:rPr>
      </w:pPr>
      <w:r w:rsidRPr="00DA6D0C">
        <w:rPr>
          <w:rFonts w:ascii="Times New Roman" w:hAnsi="Times New Roman" w:cs="Times New Roman"/>
          <w:sz w:val="24"/>
          <w:szCs w:val="24"/>
          <w:lang w:bidi="lv-LV"/>
        </w:rPr>
        <w:t>Ieņēmumi no sniegtajiem maksas pakalpojumiem tiek ieskaitīti pašvaldības pamatbudžeta kontos un izlietoti atbilstoši kārtējā gada pašvaldības apstiprinātajam budžetam.</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bidi="lv-LV"/>
        </w:rPr>
      </w:pPr>
      <w:r>
        <w:rPr>
          <w:rFonts w:ascii="Times New Roman" w:hAnsi="Times New Roman" w:cs="Times New Roman"/>
          <w:sz w:val="24"/>
          <w:szCs w:val="24"/>
          <w:lang w:bidi="lv-LV"/>
        </w:rPr>
        <w:t>Noteikumu 2.3.</w:t>
      </w:r>
      <w:r w:rsidRPr="00DA6D0C">
        <w:rPr>
          <w:rFonts w:ascii="Times New Roman" w:hAnsi="Times New Roman" w:cs="Times New Roman"/>
          <w:sz w:val="24"/>
          <w:szCs w:val="24"/>
          <w:lang w:bidi="lv-LV"/>
        </w:rPr>
        <w:t>punktā minētās iestādes un struktūrvienības maksas pakalpojumu ieņēmumu neizlietoto atlikumu pārskata gada beigās ir tiesīgas izlietot nākamajā budžeta gadā.</w:t>
      </w:r>
    </w:p>
    <w:p w:rsidR="00DA6D0C" w:rsidRPr="00DA6D0C" w:rsidRDefault="00DA6D0C" w:rsidP="00DA6D0C">
      <w:pPr>
        <w:jc w:val="both"/>
      </w:pPr>
    </w:p>
    <w:p w:rsidR="00DA6D0C" w:rsidRPr="00DA6D0C" w:rsidRDefault="00DA6D0C" w:rsidP="00DA6D0C">
      <w:pPr>
        <w:numPr>
          <w:ilvl w:val="0"/>
          <w:numId w:val="3"/>
        </w:numPr>
        <w:ind w:left="567" w:hanging="567"/>
        <w:jc w:val="center"/>
        <w:rPr>
          <w:b/>
          <w:bCs/>
        </w:rPr>
      </w:pPr>
      <w:bookmarkStart w:id="4" w:name="p2"/>
      <w:bookmarkStart w:id="5" w:name="p-394241"/>
      <w:bookmarkStart w:id="6" w:name="p3"/>
      <w:bookmarkStart w:id="7" w:name="p-394242"/>
      <w:bookmarkStart w:id="8" w:name="n2"/>
      <w:bookmarkStart w:id="9" w:name="n3"/>
      <w:bookmarkEnd w:id="4"/>
      <w:bookmarkEnd w:id="5"/>
      <w:bookmarkEnd w:id="6"/>
      <w:bookmarkEnd w:id="7"/>
      <w:bookmarkEnd w:id="8"/>
      <w:bookmarkEnd w:id="9"/>
      <w:r w:rsidRPr="00DA6D0C">
        <w:rPr>
          <w:b/>
          <w:bCs/>
        </w:rPr>
        <w:t>Sniegto maksas pakalpojumu izcenojumu noteikšanas metodika</w:t>
      </w:r>
    </w:p>
    <w:p w:rsidR="00DA6D0C" w:rsidRPr="00DA6D0C" w:rsidRDefault="00DA6D0C" w:rsidP="00DA6D0C">
      <w:pPr>
        <w:rPr>
          <w:b/>
          <w:bCs/>
        </w:rPr>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0" w:name="p9"/>
      <w:bookmarkStart w:id="11" w:name="p-394250"/>
      <w:bookmarkEnd w:id="10"/>
      <w:bookmarkEnd w:id="11"/>
      <w:r w:rsidRPr="00DA6D0C">
        <w:rPr>
          <w:rFonts w:ascii="Times New Roman" w:hAnsi="Times New Roman" w:cs="Times New Roman"/>
          <w:sz w:val="24"/>
          <w:szCs w:val="24"/>
        </w:rPr>
        <w:t>Lai noteiktu maksas pakalpojumu izcenojumu, iestāde (struktūra) katram maksas pakalpojuma veidam saskaņā ar šo noteikumu 1.pielikumu izstrādā maksas pakalpojuma izcenojuma aprēķinu. Minēto aprēķinu saskaņo ar Limbažu novada pašvaldības Finanšu nodaļas ekonomistu.</w:t>
      </w:r>
    </w:p>
    <w:p w:rsid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2" w:name="p-394251"/>
      <w:bookmarkEnd w:id="12"/>
      <w:r w:rsidRPr="00DA6D0C">
        <w:rPr>
          <w:rFonts w:ascii="Times New Roman" w:hAnsi="Times New Roman" w:cs="Times New Roman"/>
          <w:sz w:val="24"/>
          <w:szCs w:val="24"/>
        </w:rPr>
        <w:t>Maksas pakalpojuma izcenojums ietver visas izmaksas, kuras rodas, sniedzot maksas pakalpojumu, un to aprēķina, izmantojot šādu formulu:</w:t>
      </w:r>
    </w:p>
    <w:p w:rsidR="00175DEE" w:rsidRPr="00DA6D0C" w:rsidRDefault="00175DEE" w:rsidP="00175DEE">
      <w:pPr>
        <w:pStyle w:val="Bodytext20"/>
        <w:shd w:val="clear" w:color="auto" w:fill="auto"/>
        <w:tabs>
          <w:tab w:val="left" w:pos="0"/>
        </w:tabs>
        <w:spacing w:before="0" w:line="240" w:lineRule="auto"/>
        <w:ind w:left="567" w:firstLine="0"/>
        <w:jc w:val="both"/>
        <w:rPr>
          <w:rFonts w:ascii="Times New Roman" w:hAnsi="Times New Roman" w:cs="Times New Roman"/>
          <w:sz w:val="24"/>
          <w:szCs w:val="24"/>
        </w:rPr>
      </w:pPr>
    </w:p>
    <w:p w:rsidR="00175DEE" w:rsidRDefault="00DA6D0C" w:rsidP="00DA6D0C">
      <w:pPr>
        <w:jc w:val="center"/>
      </w:pPr>
      <w:proofErr w:type="spellStart"/>
      <w:r w:rsidRPr="00DA6D0C">
        <w:t>Imp</w:t>
      </w:r>
      <w:proofErr w:type="spellEnd"/>
      <w:r w:rsidRPr="00DA6D0C">
        <w:t xml:space="preserve"> = (</w:t>
      </w:r>
      <w:proofErr w:type="spellStart"/>
      <w:r w:rsidRPr="00DA6D0C">
        <w:t>T</w:t>
      </w:r>
      <w:r w:rsidR="00175DEE">
        <w:t>izm</w:t>
      </w:r>
      <w:proofErr w:type="spellEnd"/>
      <w:r w:rsidR="00175DEE">
        <w:t xml:space="preserve"> + </w:t>
      </w:r>
      <w:proofErr w:type="spellStart"/>
      <w:r w:rsidR="00175DEE">
        <w:t>Nizm</w:t>
      </w:r>
      <w:proofErr w:type="spellEnd"/>
      <w:r w:rsidR="00175DEE">
        <w:t>)/</w:t>
      </w:r>
      <w:proofErr w:type="spellStart"/>
      <w:r w:rsidR="00175DEE">
        <w:t>Vsk</w:t>
      </w:r>
      <w:proofErr w:type="spellEnd"/>
      <w:r w:rsidR="00175DEE">
        <w:t>,</w:t>
      </w:r>
    </w:p>
    <w:p w:rsidR="00DA6D0C" w:rsidRPr="00DA6D0C" w:rsidRDefault="00175DEE" w:rsidP="00175DEE">
      <w:pPr>
        <w:ind w:firstLine="567"/>
      </w:pPr>
      <w:r>
        <w:t>k</w:t>
      </w:r>
      <w:r w:rsidR="00DA6D0C" w:rsidRPr="00DA6D0C">
        <w:t>ur</w:t>
      </w:r>
    </w:p>
    <w:p w:rsidR="00175DEE" w:rsidRPr="00DA6D0C" w:rsidRDefault="00DA6D0C" w:rsidP="00175DEE">
      <w:pPr>
        <w:ind w:left="567"/>
        <w:jc w:val="both"/>
      </w:pPr>
      <w:proofErr w:type="spellStart"/>
      <w:r w:rsidRPr="00DA6D0C">
        <w:t>Imp</w:t>
      </w:r>
      <w:proofErr w:type="spellEnd"/>
      <w:r w:rsidRPr="00DA6D0C">
        <w:t xml:space="preserve"> – viena sniegtā maksas pakalpojuma veida vienas vienības izcenojums;</w:t>
      </w:r>
    </w:p>
    <w:p w:rsidR="00175DEE" w:rsidRPr="00DA6D0C" w:rsidRDefault="00DA6D0C" w:rsidP="00175DEE">
      <w:pPr>
        <w:ind w:left="567"/>
        <w:jc w:val="both"/>
      </w:pPr>
      <w:proofErr w:type="spellStart"/>
      <w:r w:rsidRPr="00DA6D0C">
        <w:t>Tizm</w:t>
      </w:r>
      <w:proofErr w:type="spellEnd"/>
      <w:r w:rsidRPr="00DA6D0C">
        <w:t xml:space="preserve"> – tiešās izmaksas</w:t>
      </w:r>
      <w:r w:rsidR="00175DEE">
        <w:t>,</w:t>
      </w:r>
      <w:r w:rsidRPr="00DA6D0C">
        <w:t xml:space="preserve"> jeb izmaksas, kas ir tieši attiecināmas uz maksas pakalpojuma sniegšanu. Šīs izmaksas parasti ietver maksas pakalpojuma sniegšanai izlietoto materiālu iegādes izmaksas un tiešos izdevumus darba samaksai, kā arī ar šo samaksu saistītās valsts sociālās apdrošināšanas obligātās iemaksas;</w:t>
      </w:r>
    </w:p>
    <w:p w:rsidR="00175DEE" w:rsidRPr="00DA6D0C" w:rsidRDefault="00DA6D0C" w:rsidP="00175DEE">
      <w:pPr>
        <w:ind w:left="567"/>
        <w:jc w:val="both"/>
      </w:pPr>
      <w:proofErr w:type="spellStart"/>
      <w:r w:rsidRPr="00DA6D0C">
        <w:t>Nizm</w:t>
      </w:r>
      <w:proofErr w:type="spellEnd"/>
      <w:r w:rsidRPr="00DA6D0C">
        <w:t xml:space="preserve"> – netiešās izmaksas</w:t>
      </w:r>
      <w:r w:rsidR="00175DEE">
        <w:t>,</w:t>
      </w:r>
      <w:r w:rsidRPr="00DA6D0C">
        <w:t xml:space="preserve">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w:t>
      </w:r>
    </w:p>
    <w:p w:rsidR="00DA6D0C" w:rsidRDefault="00DA6D0C" w:rsidP="00DA6D0C">
      <w:pPr>
        <w:ind w:left="567"/>
        <w:jc w:val="both"/>
      </w:pPr>
      <w:proofErr w:type="spellStart"/>
      <w:r w:rsidRPr="00DA6D0C">
        <w:t>Vsk</w:t>
      </w:r>
      <w:proofErr w:type="spellEnd"/>
      <w:r w:rsidRPr="00DA6D0C">
        <w:t xml:space="preserve"> – plānotais maksas pakalpojuma vienību skaits noteiktā laikposmā.</w:t>
      </w:r>
    </w:p>
    <w:p w:rsidR="00175DEE" w:rsidRPr="00DA6D0C" w:rsidRDefault="00175DEE" w:rsidP="00175DEE">
      <w:pPr>
        <w:jc w:val="both"/>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3" w:name="p-394252"/>
      <w:bookmarkEnd w:id="13"/>
      <w:r w:rsidRPr="00DA6D0C">
        <w:rPr>
          <w:rFonts w:ascii="Times New Roman" w:hAnsi="Times New Roman" w:cs="Times New Roman"/>
          <w:sz w:val="24"/>
          <w:szCs w:val="24"/>
        </w:rPr>
        <w:t>Kritērijus izmaksu klasificēšanai tiešajās un netiešajās izmaksās, kā arī netiešo izmaksu attiecināšanai uz konkrēto maksas pakalpojuma veidu iestāde (struktūra) nosaka, pamatojoties uz maksas pakalpojuma un tā sniegšanas procesa specifiku.</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4" w:name="p12"/>
      <w:bookmarkStart w:id="15" w:name="p-394253"/>
      <w:bookmarkEnd w:id="14"/>
      <w:bookmarkEnd w:id="15"/>
      <w:r w:rsidRPr="00DA6D0C">
        <w:rPr>
          <w:rFonts w:ascii="Times New Roman" w:hAnsi="Times New Roman" w:cs="Times New Roman"/>
          <w:sz w:val="24"/>
          <w:szCs w:val="24"/>
        </w:rPr>
        <w:t>Maksas pakalpojumu izcenojumu aprēķinā iekļautās izmaksas klasificē saskaņā ar normatīvajiem aktiem par budžeta izdevumu klasifikāciju atbilstoši ekonomiskajām kategorijām, norādot izdevumu klasifikācijas kodu.</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6" w:name="p13"/>
      <w:bookmarkStart w:id="17" w:name="p-394254"/>
      <w:bookmarkEnd w:id="16"/>
      <w:bookmarkEnd w:id="17"/>
      <w:r w:rsidRPr="00DA6D0C">
        <w:rPr>
          <w:rFonts w:ascii="Times New Roman" w:hAnsi="Times New Roman" w:cs="Times New Roman"/>
          <w:sz w:val="24"/>
          <w:szCs w:val="24"/>
        </w:rPr>
        <w:t>Aprēķinot maksas pakalpojumu izcenojumus, var noteikt diferencētas maksas pakalpojumu cenas, ņemot vērā pakalpojumu sniegšanas (pieprasīšanas) veidus (piemēram, elektroniskā formā vai personīgi).</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18" w:name="p14"/>
      <w:bookmarkStart w:id="19" w:name="p-394255"/>
      <w:bookmarkEnd w:id="18"/>
      <w:bookmarkEnd w:id="19"/>
      <w:r w:rsidRPr="00DA6D0C">
        <w:rPr>
          <w:rFonts w:ascii="Times New Roman" w:hAnsi="Times New Roman" w:cs="Times New Roman"/>
          <w:sz w:val="24"/>
          <w:szCs w:val="24"/>
        </w:rPr>
        <w:t>Aprēķinot maksas pakalpojumu izcenojumus, tajos var paredz</w:t>
      </w:r>
      <w:r w:rsidR="00175DEE">
        <w:rPr>
          <w:rFonts w:ascii="Times New Roman" w:hAnsi="Times New Roman" w:cs="Times New Roman"/>
          <w:sz w:val="24"/>
          <w:szCs w:val="24"/>
        </w:rPr>
        <w:t>ēt</w:t>
      </w:r>
      <w:r w:rsidRPr="00DA6D0C">
        <w:rPr>
          <w:rFonts w:ascii="Times New Roman" w:hAnsi="Times New Roman" w:cs="Times New Roman"/>
          <w:sz w:val="24"/>
          <w:szCs w:val="24"/>
        </w:rPr>
        <w:t xml:space="preserve"> atvieglojumus noteiktajām mērķa grupām (piemēram, bērni, </w:t>
      </w:r>
      <w:proofErr w:type="spellStart"/>
      <w:r w:rsidRPr="00DA6D0C">
        <w:rPr>
          <w:rFonts w:ascii="Times New Roman" w:hAnsi="Times New Roman" w:cs="Times New Roman"/>
          <w:sz w:val="24"/>
          <w:szCs w:val="24"/>
        </w:rPr>
        <w:t>daudzbērnu</w:t>
      </w:r>
      <w:proofErr w:type="spellEnd"/>
      <w:r w:rsidRPr="00DA6D0C">
        <w:rPr>
          <w:rFonts w:ascii="Times New Roman" w:hAnsi="Times New Roman" w:cs="Times New Roman"/>
          <w:sz w:val="24"/>
          <w:szCs w:val="24"/>
        </w:rPr>
        <w:t xml:space="preserve"> ģimenes, pensionāri, personas, kurām noteikta invaliditāte, bez vecāku gādības palikuši bērni), lai nodrošinātu maksas pakalpojumu pieejamību.</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20" w:name="p15"/>
      <w:bookmarkStart w:id="21" w:name="p-482519"/>
      <w:bookmarkEnd w:id="20"/>
      <w:bookmarkEnd w:id="21"/>
      <w:r w:rsidRPr="00DA6D0C">
        <w:rPr>
          <w:rFonts w:ascii="Times New Roman" w:hAnsi="Times New Roman" w:cs="Times New Roman"/>
          <w:sz w:val="24"/>
          <w:szCs w:val="24"/>
        </w:rPr>
        <w:t>Maksas pakalpojumu izcenojumu aprēķinā un noteikumos par maksas pakalpojumu cenrādi izcenojumu summas norāda e</w:t>
      </w:r>
      <w:r w:rsidR="00175DEE">
        <w:rPr>
          <w:rFonts w:ascii="Times New Roman" w:hAnsi="Times New Roman" w:cs="Times New Roman"/>
          <w:sz w:val="24"/>
          <w:szCs w:val="24"/>
        </w:rPr>
        <w:t>i</w:t>
      </w:r>
      <w:r w:rsidRPr="00DA6D0C">
        <w:rPr>
          <w:rFonts w:ascii="Times New Roman" w:hAnsi="Times New Roman" w:cs="Times New Roman"/>
          <w:sz w:val="24"/>
          <w:szCs w:val="24"/>
        </w:rPr>
        <w:t>ro un centos.</w:t>
      </w:r>
    </w:p>
    <w:p w:rsidR="00DA6D0C" w:rsidRPr="00DA6D0C" w:rsidRDefault="00DA6D0C" w:rsidP="00DA6D0C">
      <w:pPr>
        <w:jc w:val="both"/>
      </w:pPr>
    </w:p>
    <w:p w:rsidR="00DA6D0C" w:rsidRPr="00DA6D0C" w:rsidRDefault="00DA6D0C" w:rsidP="00DA6D0C">
      <w:pPr>
        <w:numPr>
          <w:ilvl w:val="0"/>
          <w:numId w:val="3"/>
        </w:numPr>
        <w:ind w:left="567" w:hanging="567"/>
        <w:jc w:val="center"/>
        <w:rPr>
          <w:b/>
          <w:bCs/>
        </w:rPr>
      </w:pPr>
      <w:bookmarkStart w:id="22" w:name="n4"/>
      <w:bookmarkEnd w:id="22"/>
      <w:r w:rsidRPr="00DA6D0C">
        <w:rPr>
          <w:b/>
          <w:bCs/>
        </w:rPr>
        <w:t>Maksas pakalpojumu cenrāža apstiprināšana</w:t>
      </w:r>
    </w:p>
    <w:p w:rsidR="00DA6D0C" w:rsidRPr="00DA6D0C" w:rsidRDefault="00DA6D0C" w:rsidP="00DA6D0C">
      <w:pPr>
        <w:rPr>
          <w:b/>
          <w:bCs/>
        </w:rPr>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23" w:name="p-394258"/>
      <w:bookmarkEnd w:id="23"/>
      <w:r w:rsidRPr="00DA6D0C">
        <w:rPr>
          <w:rFonts w:ascii="Times New Roman" w:hAnsi="Times New Roman" w:cs="Times New Roman"/>
          <w:sz w:val="24"/>
          <w:szCs w:val="24"/>
        </w:rPr>
        <w:t>Iestādes (struktūras) vadītājs sagatavo lēmum</w:t>
      </w:r>
      <w:r w:rsidR="00175DEE">
        <w:rPr>
          <w:rFonts w:ascii="Times New Roman" w:hAnsi="Times New Roman" w:cs="Times New Roman"/>
          <w:sz w:val="24"/>
          <w:szCs w:val="24"/>
        </w:rPr>
        <w:t xml:space="preserve">a </w:t>
      </w:r>
      <w:r w:rsidRPr="00DA6D0C">
        <w:rPr>
          <w:rFonts w:ascii="Times New Roman" w:hAnsi="Times New Roman" w:cs="Times New Roman"/>
          <w:sz w:val="24"/>
          <w:szCs w:val="24"/>
        </w:rPr>
        <w:t>projektu par maksas pakalpojumu cenrādi iesniegšanai Finanšu komitejā.</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24" w:name="p17"/>
      <w:bookmarkStart w:id="25" w:name="p-394259"/>
      <w:bookmarkEnd w:id="24"/>
      <w:bookmarkEnd w:id="25"/>
      <w:r w:rsidRPr="00DA6D0C">
        <w:rPr>
          <w:rFonts w:ascii="Times New Roman" w:hAnsi="Times New Roman" w:cs="Times New Roman"/>
          <w:sz w:val="24"/>
          <w:szCs w:val="24"/>
        </w:rPr>
        <w:t xml:space="preserve">Lēmumā par maksas pakalpojumu cenrādi var norādīt maksāšanas kārtību, atvieglojumus, to piemērošanas nosacījumus un citus īpašos nosacījumus. Maksas pakalpojumu cenrādi izstrādā kā lēmuma pielikumu saskaņā ar šo noteikumu 2.pielikumu. </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26" w:name="p18"/>
      <w:bookmarkStart w:id="27" w:name="p-394260"/>
      <w:bookmarkEnd w:id="26"/>
      <w:bookmarkEnd w:id="27"/>
      <w:r w:rsidRPr="00DA6D0C">
        <w:rPr>
          <w:rFonts w:ascii="Times New Roman" w:hAnsi="Times New Roman" w:cs="Times New Roman"/>
          <w:sz w:val="24"/>
          <w:szCs w:val="24"/>
        </w:rPr>
        <w:t>Grozījumus lēmumā par maksas pakalpojumu cenrādi izdara šādos gadījumos:</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ir izdarīti grozījumi normatīvajos aktos vai mainījušies apstākļi, kas ietekmē iestādes (struktūras) sniedzamo maksas pakalpojumu klāstu;</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lastRenderedPageBreak/>
        <w:t>ir būtiski mainījušās (samazinājušās vai palielinājušās) tiešās vai netiešās izmaksas, kuras veido maksas pakalpojumu izcenojumus;</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ir tā mainījies plānoto maksas pakalpojumu vienību skaits noteiktā laik</w:t>
      </w:r>
      <w:r w:rsidR="00175DEE">
        <w:rPr>
          <w:rFonts w:ascii="Times New Roman" w:hAnsi="Times New Roman" w:cs="Times New Roman"/>
          <w:sz w:val="24"/>
          <w:szCs w:val="24"/>
        </w:rPr>
        <w:t xml:space="preserve">a </w:t>
      </w:r>
      <w:r w:rsidRPr="00DA6D0C">
        <w:rPr>
          <w:rFonts w:ascii="Times New Roman" w:hAnsi="Times New Roman" w:cs="Times New Roman"/>
          <w:sz w:val="24"/>
          <w:szCs w:val="24"/>
        </w:rPr>
        <w:t>posmā, ka tas būtiski ietekmē vienas pakalpojuma vienības sniegšanas izmaksas.</w:t>
      </w:r>
    </w:p>
    <w:p w:rsidR="00DA6D0C" w:rsidRPr="00DA6D0C" w:rsidRDefault="00DA6D0C" w:rsidP="00DA6D0C">
      <w:pPr>
        <w:rPr>
          <w:b/>
          <w:bCs/>
        </w:rPr>
      </w:pPr>
    </w:p>
    <w:p w:rsidR="00DA6D0C" w:rsidRPr="00DA6D0C" w:rsidRDefault="00DA6D0C" w:rsidP="00DA6D0C">
      <w:pPr>
        <w:numPr>
          <w:ilvl w:val="0"/>
          <w:numId w:val="3"/>
        </w:numPr>
        <w:ind w:left="567" w:hanging="567"/>
        <w:jc w:val="center"/>
        <w:rPr>
          <w:b/>
          <w:bCs/>
        </w:rPr>
      </w:pPr>
      <w:bookmarkStart w:id="28" w:name="n5"/>
      <w:bookmarkEnd w:id="28"/>
      <w:r w:rsidRPr="00DA6D0C">
        <w:rPr>
          <w:b/>
          <w:bCs/>
        </w:rPr>
        <w:t>Noslēguma jautājumi</w:t>
      </w:r>
    </w:p>
    <w:p w:rsidR="00DA6D0C" w:rsidRPr="00DA6D0C" w:rsidRDefault="00DA6D0C" w:rsidP="00DA6D0C">
      <w:pPr>
        <w:rPr>
          <w:b/>
          <w:bCs/>
        </w:rPr>
      </w:pP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bookmarkStart w:id="29" w:name="p19"/>
      <w:bookmarkStart w:id="30" w:name="p-394262"/>
      <w:bookmarkStart w:id="31" w:name="p22"/>
      <w:bookmarkStart w:id="32" w:name="p-394265"/>
      <w:bookmarkEnd w:id="29"/>
      <w:bookmarkEnd w:id="30"/>
      <w:bookmarkEnd w:id="31"/>
      <w:bookmarkEnd w:id="32"/>
      <w:r w:rsidRPr="00DA6D0C">
        <w:rPr>
          <w:rFonts w:ascii="Times New Roman" w:hAnsi="Times New Roman" w:cs="Times New Roman"/>
          <w:sz w:val="24"/>
          <w:szCs w:val="24"/>
        </w:rPr>
        <w:t>Noteikumi neattiecas uz:</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pašvaldības zemes nomu;</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ūdenstilpju un zvejas tiesību iznomāšanu;</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 xml:space="preserve">gadījumos, kad piemērojami Ministru kabineta </w:t>
      </w:r>
      <w:r w:rsidR="00175DEE" w:rsidRPr="00DA6D0C">
        <w:rPr>
          <w:rFonts w:ascii="Times New Roman" w:hAnsi="Times New Roman" w:cs="Times New Roman"/>
          <w:sz w:val="24"/>
          <w:szCs w:val="24"/>
        </w:rPr>
        <w:t xml:space="preserve">2010.gada 8.jūnija </w:t>
      </w:r>
      <w:r w:rsidRPr="00DA6D0C">
        <w:rPr>
          <w:rFonts w:ascii="Times New Roman" w:hAnsi="Times New Roman" w:cs="Times New Roman"/>
          <w:sz w:val="24"/>
          <w:szCs w:val="24"/>
        </w:rPr>
        <w:t>noteikumi Nr.515 „Noteikumi par valsts un pašvaldības mantas iznomāšanas kārtību, nomas maksas noteikšanas metodiku un nomas līguma tipveida nosacījumiem”;</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maksas pakalpojumiem, par kuriem maksa noteikta likumos, Ministru kabineta noteikumos vai pašvaldības saistošajos noteikumos;</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biļešu maksām vai pasākumu ieejas maksām;</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dalības maksām, kuras noteiktas ar domas lēmumiem;</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maksu par lasītāju kartēm bibliotēkās;</w:t>
      </w:r>
    </w:p>
    <w:p w:rsidR="00DA6D0C" w:rsidRPr="00DA6D0C" w:rsidRDefault="00DA6D0C" w:rsidP="00DA6D0C">
      <w:pPr>
        <w:pStyle w:val="Bodytext20"/>
        <w:numPr>
          <w:ilvl w:val="2"/>
          <w:numId w:val="3"/>
        </w:numPr>
        <w:shd w:val="clear" w:color="auto" w:fill="auto"/>
        <w:tabs>
          <w:tab w:val="left" w:pos="0"/>
        </w:tabs>
        <w:spacing w:before="0" w:line="240" w:lineRule="auto"/>
        <w:ind w:left="1276"/>
        <w:jc w:val="both"/>
        <w:rPr>
          <w:rFonts w:ascii="Times New Roman" w:hAnsi="Times New Roman" w:cs="Times New Roman"/>
          <w:sz w:val="24"/>
          <w:szCs w:val="24"/>
        </w:rPr>
      </w:pPr>
      <w:r w:rsidRPr="00DA6D0C">
        <w:rPr>
          <w:rFonts w:ascii="Times New Roman" w:hAnsi="Times New Roman" w:cs="Times New Roman"/>
          <w:sz w:val="24"/>
          <w:szCs w:val="24"/>
        </w:rPr>
        <w:t>maksu par ielu tirdzniecības organizēšanu un atsevišķu objektu un laukumu izmantošanu konkrētos pasākumos.</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r w:rsidRPr="00DA6D0C">
        <w:rPr>
          <w:rFonts w:ascii="Times New Roman" w:hAnsi="Times New Roman" w:cs="Times New Roman"/>
          <w:sz w:val="24"/>
          <w:szCs w:val="24"/>
        </w:rPr>
        <w:t xml:space="preserve">Pašvaldības institūcijas vadītājs atbild par iestādes sniegto maksas pakalpojumu izcenojuma aprēķināšanu atbilstoši šiem </w:t>
      </w:r>
      <w:r w:rsidR="00175DEE">
        <w:rPr>
          <w:rFonts w:ascii="Times New Roman" w:hAnsi="Times New Roman" w:cs="Times New Roman"/>
          <w:sz w:val="24"/>
          <w:szCs w:val="24"/>
        </w:rPr>
        <w:t>n</w:t>
      </w:r>
      <w:r w:rsidRPr="00DA6D0C">
        <w:rPr>
          <w:rFonts w:ascii="Times New Roman" w:hAnsi="Times New Roman" w:cs="Times New Roman"/>
          <w:sz w:val="24"/>
          <w:szCs w:val="24"/>
        </w:rPr>
        <w:t>oteikumiem un iestādes apstiprinātā maksas pakalpojuma cenrāža piemērošanu.</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rPr>
      </w:pPr>
      <w:r w:rsidRPr="00DA6D0C">
        <w:rPr>
          <w:rFonts w:ascii="Times New Roman" w:hAnsi="Times New Roman" w:cs="Times New Roman"/>
          <w:sz w:val="24"/>
          <w:szCs w:val="24"/>
        </w:rPr>
        <w:t>Noteikumi stājas spēkā ar 2016.gada 1.jūliju.</w:t>
      </w:r>
    </w:p>
    <w:p w:rsidR="00DA6D0C" w:rsidRPr="00DA6D0C" w:rsidRDefault="00DA6D0C" w:rsidP="00DA6D0C">
      <w:pPr>
        <w:pStyle w:val="Bodytext20"/>
        <w:numPr>
          <w:ilvl w:val="1"/>
          <w:numId w:val="3"/>
        </w:numPr>
        <w:shd w:val="clear" w:color="auto" w:fill="auto"/>
        <w:tabs>
          <w:tab w:val="left" w:pos="0"/>
        </w:tabs>
        <w:spacing w:before="0" w:line="240" w:lineRule="auto"/>
        <w:ind w:left="567"/>
        <w:jc w:val="both"/>
        <w:rPr>
          <w:rFonts w:ascii="Times New Roman" w:hAnsi="Times New Roman" w:cs="Times New Roman"/>
          <w:sz w:val="24"/>
          <w:szCs w:val="24"/>
          <w:lang w:eastAsia="lv-LV"/>
        </w:rPr>
      </w:pPr>
      <w:r w:rsidRPr="00DA6D0C">
        <w:rPr>
          <w:rFonts w:ascii="Times New Roman" w:eastAsia="Calibri" w:hAnsi="Times New Roman" w:cs="Times New Roman"/>
          <w:bCs/>
          <w:sz w:val="24"/>
          <w:szCs w:val="24"/>
          <w:lang w:eastAsia="lv-LV"/>
        </w:rPr>
        <w:t>Ar š</w:t>
      </w:r>
      <w:r w:rsidRPr="00DA6D0C">
        <w:rPr>
          <w:rFonts w:ascii="Times New Roman" w:eastAsia="Calibri" w:hAnsi="Times New Roman" w:cs="Times New Roman"/>
          <w:bCs/>
          <w:sz w:val="24"/>
          <w:szCs w:val="24"/>
        </w:rPr>
        <w:t>o</w:t>
      </w:r>
      <w:r w:rsidRPr="00DA6D0C">
        <w:rPr>
          <w:rFonts w:ascii="Times New Roman" w:eastAsia="Calibri" w:hAnsi="Times New Roman" w:cs="Times New Roman"/>
          <w:bCs/>
          <w:sz w:val="24"/>
          <w:szCs w:val="24"/>
          <w:lang w:eastAsia="lv-LV"/>
        </w:rPr>
        <w:t xml:space="preserve"> n</w:t>
      </w:r>
      <w:r w:rsidRPr="00DA6D0C">
        <w:rPr>
          <w:rFonts w:ascii="Times New Roman" w:eastAsia="Calibri" w:hAnsi="Times New Roman" w:cs="Times New Roman"/>
          <w:bCs/>
          <w:sz w:val="24"/>
          <w:szCs w:val="24"/>
        </w:rPr>
        <w:t xml:space="preserve">oteikumu </w:t>
      </w:r>
      <w:r w:rsidRPr="00DA6D0C">
        <w:rPr>
          <w:rFonts w:ascii="Times New Roman" w:eastAsia="Calibri" w:hAnsi="Times New Roman" w:cs="Times New Roman"/>
          <w:bCs/>
          <w:sz w:val="24"/>
          <w:szCs w:val="24"/>
          <w:lang w:eastAsia="lv-LV"/>
        </w:rPr>
        <w:t>spēkā stāšanās brīdi, spēku zaudē </w:t>
      </w:r>
      <w:r w:rsidRPr="00DA6D0C">
        <w:rPr>
          <w:rFonts w:ascii="Times New Roman" w:eastAsia="Calibri" w:hAnsi="Times New Roman" w:cs="Times New Roman"/>
          <w:bCs/>
          <w:sz w:val="24"/>
          <w:szCs w:val="24"/>
        </w:rPr>
        <w:t xml:space="preserve">Limbažu novada domes noteikumi </w:t>
      </w:r>
      <w:r w:rsidRPr="00DA6D0C">
        <w:rPr>
          <w:rFonts w:ascii="Times New Roman" w:hAnsi="Times New Roman" w:cs="Times New Roman"/>
          <w:sz w:val="24"/>
          <w:szCs w:val="24"/>
        </w:rPr>
        <w:t>„</w:t>
      </w:r>
      <w:r w:rsidRPr="00DA6D0C">
        <w:rPr>
          <w:rFonts w:ascii="Times New Roman" w:eastAsia="Calibri" w:hAnsi="Times New Roman" w:cs="Times New Roman"/>
          <w:bCs/>
          <w:sz w:val="24"/>
          <w:szCs w:val="24"/>
        </w:rPr>
        <w:t>Limbažu novada pašvaldības, tās iestāžu un struktūrvienību sniegto maksas pakalpojumu izcenojumu aprēķināšanas metodika un izcenojumu apstiprināšanas kārtība”</w:t>
      </w:r>
      <w:r w:rsidRPr="00DA6D0C">
        <w:rPr>
          <w:rFonts w:ascii="Times New Roman" w:eastAsia="Calibri" w:hAnsi="Times New Roman" w:cs="Times New Roman"/>
          <w:sz w:val="24"/>
          <w:szCs w:val="24"/>
          <w:lang w:eastAsia="lv-LV"/>
        </w:rPr>
        <w:t>, kas apstiprināt</w:t>
      </w:r>
      <w:r w:rsidRPr="00DA6D0C">
        <w:rPr>
          <w:rFonts w:ascii="Times New Roman" w:eastAsia="Calibri" w:hAnsi="Times New Roman" w:cs="Times New Roman"/>
          <w:sz w:val="24"/>
          <w:szCs w:val="24"/>
        </w:rPr>
        <w:t>i</w:t>
      </w:r>
      <w:r w:rsidRPr="00DA6D0C">
        <w:rPr>
          <w:rFonts w:ascii="Times New Roman" w:eastAsia="Calibri" w:hAnsi="Times New Roman" w:cs="Times New Roman"/>
          <w:sz w:val="24"/>
          <w:szCs w:val="24"/>
          <w:lang w:eastAsia="lv-LV"/>
        </w:rPr>
        <w:t xml:space="preserve"> ar Limbažu novada domes </w:t>
      </w:r>
      <w:r w:rsidRPr="00DA6D0C">
        <w:rPr>
          <w:rFonts w:ascii="Times New Roman" w:eastAsia="Calibri" w:hAnsi="Times New Roman" w:cs="Times New Roman"/>
          <w:sz w:val="24"/>
          <w:szCs w:val="24"/>
        </w:rPr>
        <w:t>2014.gada 27.marta lēmumu (protokols Nr.6, 22.§).</w:t>
      </w:r>
    </w:p>
    <w:p w:rsidR="00937703" w:rsidRPr="00DA6D0C" w:rsidRDefault="00937703" w:rsidP="00DA6D0C"/>
    <w:p w:rsidR="00DA6D0C" w:rsidRPr="00DA6D0C" w:rsidRDefault="00DA6D0C" w:rsidP="00DA6D0C"/>
    <w:p w:rsidR="00937703" w:rsidRPr="00DA6D0C" w:rsidRDefault="00937703" w:rsidP="00DA6D0C"/>
    <w:p w:rsidR="00937703" w:rsidRPr="00DA6D0C" w:rsidRDefault="00937703" w:rsidP="00DA6D0C">
      <w:pPr>
        <w:ind w:right="43"/>
        <w:contextualSpacing/>
        <w:rPr>
          <w:rFonts w:eastAsia="Calibri"/>
        </w:rPr>
      </w:pPr>
      <w:r w:rsidRPr="00DA6D0C">
        <w:rPr>
          <w:rFonts w:eastAsia="Calibri"/>
        </w:rPr>
        <w:t>Limbažu novada pašvaldības</w:t>
      </w:r>
    </w:p>
    <w:p w:rsidR="00937703" w:rsidRDefault="00937703" w:rsidP="00DA6D0C">
      <w:pPr>
        <w:tabs>
          <w:tab w:val="left" w:pos="4678"/>
          <w:tab w:val="left" w:pos="8364"/>
        </w:tabs>
        <w:ind w:right="43"/>
        <w:contextualSpacing/>
        <w:rPr>
          <w:rFonts w:eastAsia="Calibri"/>
        </w:rPr>
      </w:pPr>
      <w:r w:rsidRPr="00DA6D0C">
        <w:rPr>
          <w:rFonts w:eastAsia="Calibri"/>
        </w:rPr>
        <w:t>Domes priekšsēdētājs</w:t>
      </w:r>
      <w:r w:rsidRPr="00DA6D0C">
        <w:rPr>
          <w:rFonts w:eastAsia="Calibri"/>
        </w:rPr>
        <w:tab/>
      </w:r>
      <w:r w:rsidRPr="00DA6D0C">
        <w:rPr>
          <w:rFonts w:eastAsia="Calibri"/>
        </w:rPr>
        <w:tab/>
      </w:r>
      <w:proofErr w:type="spellStart"/>
      <w:r w:rsidRPr="00DA6D0C">
        <w:rPr>
          <w:rFonts w:eastAsia="Calibri"/>
        </w:rPr>
        <w:t>D.Zemmers</w:t>
      </w:r>
      <w:proofErr w:type="spellEnd"/>
    </w:p>
    <w:p w:rsidR="00175DEE" w:rsidRDefault="00175DEE" w:rsidP="00DA6D0C">
      <w:pPr>
        <w:tabs>
          <w:tab w:val="left" w:pos="4678"/>
          <w:tab w:val="left" w:pos="8364"/>
        </w:tabs>
        <w:ind w:right="43"/>
        <w:contextualSpacing/>
        <w:rPr>
          <w:rFonts w:eastAsia="Calibri"/>
        </w:rPr>
      </w:pPr>
    </w:p>
    <w:p w:rsidR="00175DEE" w:rsidRDefault="00175DEE" w:rsidP="00DA6D0C">
      <w:pPr>
        <w:tabs>
          <w:tab w:val="left" w:pos="4678"/>
          <w:tab w:val="left" w:pos="8364"/>
        </w:tabs>
        <w:ind w:right="43"/>
        <w:contextualSpacing/>
        <w:rPr>
          <w:rFonts w:eastAsia="Calibri"/>
        </w:rPr>
        <w:sectPr w:rsidR="00175DEE" w:rsidSect="00DC186D">
          <w:headerReference w:type="default" r:id="rId7"/>
          <w:headerReference w:type="first" r:id="rId8"/>
          <w:pgSz w:w="11906" w:h="16838" w:code="9"/>
          <w:pgMar w:top="1134" w:right="567" w:bottom="1134" w:left="1701" w:header="709" w:footer="709" w:gutter="0"/>
          <w:cols w:space="708"/>
          <w:titlePg/>
          <w:docGrid w:linePitch="360"/>
        </w:sectPr>
      </w:pPr>
    </w:p>
    <w:p w:rsidR="00175DEE" w:rsidRPr="00EF3E3E" w:rsidRDefault="00175DEE" w:rsidP="00175DEE">
      <w:pPr>
        <w:ind w:left="4820"/>
        <w:rPr>
          <w:b/>
          <w:bCs/>
        </w:rPr>
      </w:pPr>
      <w:r>
        <w:rPr>
          <w:b/>
          <w:bCs/>
        </w:rPr>
        <w:lastRenderedPageBreak/>
        <w:t>1</w:t>
      </w:r>
      <w:r w:rsidRPr="00EF3E3E">
        <w:rPr>
          <w:b/>
          <w:bCs/>
        </w:rPr>
        <w:t>.PIELIKUMS</w:t>
      </w:r>
    </w:p>
    <w:p w:rsidR="00175DEE" w:rsidRPr="00DC186D" w:rsidRDefault="00175DEE" w:rsidP="00175DEE">
      <w:pPr>
        <w:ind w:left="4820"/>
        <w:rPr>
          <w:bCs/>
        </w:rPr>
      </w:pPr>
      <w:r w:rsidRPr="00DC186D">
        <w:rPr>
          <w:bCs/>
        </w:rPr>
        <w:t xml:space="preserve">Noteikumiem „Limbažu novada pašvaldības, </w:t>
      </w:r>
    </w:p>
    <w:p w:rsidR="00175DEE" w:rsidRPr="00DC186D" w:rsidRDefault="00175DEE" w:rsidP="00175DEE">
      <w:pPr>
        <w:ind w:left="4820"/>
        <w:rPr>
          <w:bCs/>
        </w:rPr>
      </w:pPr>
      <w:r w:rsidRPr="00DC186D">
        <w:rPr>
          <w:bCs/>
        </w:rPr>
        <w:t xml:space="preserve">tās iestāžu un struktūrvienību sniegto maksas </w:t>
      </w:r>
    </w:p>
    <w:p w:rsidR="00175DEE" w:rsidRPr="00DC186D" w:rsidRDefault="00175DEE" w:rsidP="00175DEE">
      <w:pPr>
        <w:ind w:left="4820"/>
        <w:rPr>
          <w:bCs/>
        </w:rPr>
      </w:pPr>
      <w:r w:rsidRPr="00DC186D">
        <w:rPr>
          <w:bCs/>
        </w:rPr>
        <w:t xml:space="preserve">pakalpojumu izcenojumu aprēķināšanas metodika </w:t>
      </w:r>
    </w:p>
    <w:p w:rsidR="00175DEE" w:rsidRPr="00DC186D" w:rsidRDefault="00175DEE" w:rsidP="00175DEE">
      <w:pPr>
        <w:ind w:left="4820"/>
        <w:rPr>
          <w:bCs/>
        </w:rPr>
      </w:pPr>
      <w:r w:rsidRPr="00DC186D">
        <w:rPr>
          <w:bCs/>
        </w:rPr>
        <w:t>un izcenojumu apstiprināšanas kārtība”</w:t>
      </w:r>
    </w:p>
    <w:p w:rsidR="00175DEE" w:rsidRPr="00DC186D" w:rsidRDefault="00175DEE" w:rsidP="00175DEE"/>
    <w:p w:rsidR="00175DEE" w:rsidRPr="00DC186D" w:rsidRDefault="00175DEE" w:rsidP="00175DEE">
      <w:pPr>
        <w:jc w:val="right"/>
      </w:pPr>
      <w:r w:rsidRPr="00DC186D">
        <w:t>Saskaņots:</w:t>
      </w:r>
    </w:p>
    <w:p w:rsidR="00175DEE" w:rsidRPr="00DC186D" w:rsidRDefault="00175DEE" w:rsidP="00175DEE">
      <w:pPr>
        <w:jc w:val="right"/>
      </w:pPr>
      <w:r w:rsidRPr="00DC186D">
        <w:t>__________________________________</w:t>
      </w:r>
    </w:p>
    <w:p w:rsidR="00175DEE" w:rsidRPr="00DC186D" w:rsidRDefault="00175DEE" w:rsidP="00175DEE">
      <w:pPr>
        <w:jc w:val="right"/>
      </w:pPr>
      <w:r w:rsidRPr="00DC186D">
        <w:t>(amats)          (vārds, uzvārds)     (paraksts)</w:t>
      </w:r>
    </w:p>
    <w:p w:rsidR="00175DEE" w:rsidRPr="00DC186D" w:rsidRDefault="00175DEE" w:rsidP="00175DEE">
      <w:pPr>
        <w:jc w:val="right"/>
      </w:pPr>
      <w:r w:rsidRPr="00DC186D">
        <w:t>_______. gada ____. _______________</w:t>
      </w:r>
    </w:p>
    <w:p w:rsidR="00175DEE" w:rsidRPr="00DC186D" w:rsidRDefault="00175DEE" w:rsidP="00175DEE">
      <w:pPr>
        <w:jc w:val="center"/>
        <w:rPr>
          <w:b/>
        </w:rPr>
      </w:pPr>
    </w:p>
    <w:p w:rsidR="00175DEE" w:rsidRPr="00DC186D" w:rsidRDefault="00175DEE" w:rsidP="00175DEE">
      <w:pPr>
        <w:jc w:val="center"/>
        <w:rPr>
          <w:b/>
          <w:sz w:val="28"/>
          <w:szCs w:val="28"/>
        </w:rPr>
      </w:pPr>
      <w:r w:rsidRPr="00DC186D">
        <w:rPr>
          <w:b/>
          <w:sz w:val="28"/>
          <w:szCs w:val="28"/>
        </w:rPr>
        <w:t>Maksas pakalpojumu izcenojuma aprēķins</w:t>
      </w:r>
    </w:p>
    <w:p w:rsidR="00175DEE" w:rsidRPr="00DC186D" w:rsidRDefault="00175DEE" w:rsidP="00175DEE">
      <w:pPr>
        <w:jc w:val="both"/>
      </w:pPr>
    </w:p>
    <w:p w:rsidR="00175DEE" w:rsidRPr="00DC186D" w:rsidRDefault="00175DEE" w:rsidP="00175DEE">
      <w:pPr>
        <w:ind w:left="142"/>
        <w:jc w:val="both"/>
        <w:rPr>
          <w:u w:val="single"/>
        </w:rPr>
      </w:pPr>
      <w:r w:rsidRPr="00DC186D">
        <w:rPr>
          <w:u w:val="single"/>
        </w:rPr>
        <w:t>Iestāde (struktūrvienība)</w:t>
      </w:r>
      <w:r w:rsidRPr="00DC186D">
        <w:rPr>
          <w:u w:val="single"/>
        </w:rPr>
        <w:tab/>
      </w:r>
      <w:r w:rsidRPr="00DC186D">
        <w:rPr>
          <w:u w:val="single"/>
        </w:rPr>
        <w:tab/>
      </w:r>
      <w:r w:rsidRPr="00DC186D">
        <w:rPr>
          <w:u w:val="single"/>
        </w:rPr>
        <w:tab/>
      </w:r>
      <w:r w:rsidRPr="00DC186D">
        <w:rPr>
          <w:u w:val="single"/>
        </w:rPr>
        <w:tab/>
      </w:r>
      <w:r w:rsidRPr="00DC186D">
        <w:rPr>
          <w:u w:val="single"/>
        </w:rPr>
        <w:tab/>
      </w:r>
      <w:r w:rsidRPr="00DC186D">
        <w:rPr>
          <w:u w:val="single"/>
        </w:rPr>
        <w:tab/>
      </w:r>
      <w:r w:rsidRPr="00DC186D">
        <w:rPr>
          <w:u w:val="single"/>
        </w:rPr>
        <w:tab/>
      </w:r>
      <w:r w:rsidRPr="00DC186D">
        <w:rPr>
          <w:u w:val="single"/>
        </w:rPr>
        <w:tab/>
      </w:r>
      <w:r w:rsidRPr="00DC186D">
        <w:rPr>
          <w:u w:val="single"/>
        </w:rPr>
        <w:tab/>
      </w:r>
    </w:p>
    <w:p w:rsidR="00175DEE" w:rsidRPr="007046BC" w:rsidRDefault="00175DEE" w:rsidP="00175DEE">
      <w:pPr>
        <w:ind w:left="142"/>
        <w:jc w:val="both"/>
        <w:rPr>
          <w:u w:val="single"/>
        </w:rPr>
      </w:pPr>
      <w:r w:rsidRPr="00DC186D">
        <w:rPr>
          <w:u w:val="single"/>
        </w:rPr>
        <w:t>Maksas pakalpojumu veids</w:t>
      </w:r>
      <w:r w:rsidRPr="00DC186D">
        <w:rPr>
          <w:u w:val="single"/>
        </w:rPr>
        <w:tab/>
      </w:r>
      <w:r w:rsidRPr="00DC186D">
        <w:rPr>
          <w:u w:val="single"/>
        </w:rPr>
        <w:tab/>
      </w:r>
      <w:r w:rsidRPr="00DC186D">
        <w:rPr>
          <w:u w:val="single"/>
        </w:rPr>
        <w:tab/>
      </w:r>
      <w:r w:rsidRPr="00DC186D">
        <w:rPr>
          <w:u w:val="single"/>
        </w:rPr>
        <w:tab/>
      </w:r>
      <w:r w:rsidRPr="00DC186D">
        <w:rPr>
          <w:u w:val="single"/>
        </w:rPr>
        <w:tab/>
      </w:r>
      <w:r w:rsidRPr="007046BC">
        <w:rPr>
          <w:u w:val="single"/>
        </w:rPr>
        <w:tab/>
      </w:r>
      <w:r w:rsidRPr="007046BC">
        <w:rPr>
          <w:u w:val="single"/>
        </w:rPr>
        <w:tab/>
      </w:r>
      <w:r w:rsidRPr="007046BC">
        <w:rPr>
          <w:u w:val="single"/>
        </w:rPr>
        <w:tab/>
      </w:r>
      <w:r w:rsidRPr="007046BC">
        <w:rPr>
          <w:u w:val="single"/>
        </w:rPr>
        <w:tab/>
      </w:r>
    </w:p>
    <w:p w:rsidR="00175DEE" w:rsidRPr="007046BC" w:rsidRDefault="00175DEE" w:rsidP="00175DEE">
      <w:pPr>
        <w:ind w:left="142"/>
        <w:jc w:val="both"/>
        <w:rPr>
          <w:u w:val="single"/>
        </w:rPr>
      </w:pPr>
      <w:r w:rsidRPr="007046BC">
        <w:rPr>
          <w:u w:val="single"/>
        </w:rPr>
        <w:t>Laikposms</w:t>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r w:rsidRPr="007046BC">
        <w:rPr>
          <w:u w:val="single"/>
        </w:rPr>
        <w:tab/>
      </w:r>
    </w:p>
    <w:p w:rsidR="00175DEE" w:rsidRPr="007046BC" w:rsidRDefault="00175DEE" w:rsidP="00175DEE">
      <w:pPr>
        <w:ind w:left="142"/>
        <w:jc w:val="both"/>
        <w:rPr>
          <w:u w:val="single"/>
        </w:rPr>
      </w:pPr>
      <w:r w:rsidRPr="007046BC">
        <w:rPr>
          <w:u w:val="single"/>
        </w:rPr>
        <w:t>Maksas pakalpojuma vienību skaits noteiktā laikposmā (gab.)</w:t>
      </w:r>
      <w:r w:rsidRPr="007046BC">
        <w:rPr>
          <w:u w:val="single"/>
        </w:rPr>
        <w:tab/>
      </w:r>
      <w:r w:rsidRPr="007046BC">
        <w:rPr>
          <w:u w:val="single"/>
        </w:rPr>
        <w:tab/>
      </w:r>
      <w:r w:rsidRPr="007046BC">
        <w:rPr>
          <w:u w:val="single"/>
        </w:rPr>
        <w:tab/>
      </w:r>
      <w:r w:rsidRPr="007046BC">
        <w:rPr>
          <w:u w:val="single"/>
        </w:rPr>
        <w:tab/>
      </w:r>
    </w:p>
    <w:p w:rsidR="00175DEE" w:rsidRPr="007046BC" w:rsidRDefault="00175DEE" w:rsidP="00175DEE">
      <w:pPr>
        <w:ind w:left="142"/>
        <w:jc w:val="both"/>
        <w:rPr>
          <w:u w:val="single"/>
        </w:rPr>
      </w:pPr>
    </w:p>
    <w:p w:rsidR="00175DEE" w:rsidRPr="007046BC" w:rsidRDefault="00175DEE" w:rsidP="00175DEE">
      <w:pPr>
        <w:jc w:val="both"/>
        <w:rPr>
          <w:u w:val="single"/>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681"/>
        <w:gridCol w:w="3145"/>
        <w:gridCol w:w="3532"/>
      </w:tblGrid>
      <w:tr w:rsidR="00175DEE" w:rsidRPr="007046BC" w:rsidTr="00175DEE">
        <w:trPr>
          <w:jc w:val="center"/>
        </w:trPr>
        <w:tc>
          <w:tcPr>
            <w:tcW w:w="952" w:type="dxa"/>
            <w:shd w:val="clear" w:color="auto" w:fill="auto"/>
            <w:vAlign w:val="center"/>
          </w:tcPr>
          <w:p w:rsidR="00175DEE" w:rsidRPr="007046BC" w:rsidRDefault="00175DEE" w:rsidP="002532F3">
            <w:pPr>
              <w:jc w:val="center"/>
              <w:rPr>
                <w:rFonts w:eastAsia="Calibri"/>
                <w:b/>
              </w:rPr>
            </w:pPr>
          </w:p>
          <w:p w:rsidR="00175DEE" w:rsidRDefault="00175DEE" w:rsidP="002532F3">
            <w:pPr>
              <w:jc w:val="center"/>
              <w:rPr>
                <w:rFonts w:eastAsia="Calibri"/>
                <w:b/>
              </w:rPr>
            </w:pPr>
            <w:r w:rsidRPr="007046BC">
              <w:rPr>
                <w:rFonts w:eastAsia="Calibri"/>
                <w:b/>
              </w:rPr>
              <w:t>Nr.</w:t>
            </w:r>
          </w:p>
          <w:p w:rsidR="00175DEE" w:rsidRPr="007046BC" w:rsidRDefault="00175DEE" w:rsidP="002532F3">
            <w:pPr>
              <w:jc w:val="center"/>
              <w:rPr>
                <w:rFonts w:eastAsia="Calibri"/>
                <w:b/>
              </w:rPr>
            </w:pPr>
            <w:r w:rsidRPr="007046BC">
              <w:rPr>
                <w:rFonts w:eastAsia="Calibri"/>
                <w:b/>
              </w:rPr>
              <w:t>p.k.</w:t>
            </w:r>
          </w:p>
        </w:tc>
        <w:tc>
          <w:tcPr>
            <w:tcW w:w="1681" w:type="dxa"/>
            <w:shd w:val="clear" w:color="auto" w:fill="auto"/>
            <w:vAlign w:val="center"/>
          </w:tcPr>
          <w:p w:rsidR="00175DEE" w:rsidRPr="007046BC" w:rsidRDefault="00175DEE" w:rsidP="002532F3">
            <w:pPr>
              <w:jc w:val="center"/>
              <w:rPr>
                <w:rFonts w:eastAsia="Calibri"/>
                <w:b/>
              </w:rPr>
            </w:pPr>
            <w:r w:rsidRPr="007046BC">
              <w:rPr>
                <w:rFonts w:eastAsia="Calibri"/>
                <w:b/>
              </w:rPr>
              <w:t>Izdevumu klasifikācijas kods</w:t>
            </w:r>
          </w:p>
        </w:tc>
        <w:tc>
          <w:tcPr>
            <w:tcW w:w="3145" w:type="dxa"/>
            <w:shd w:val="clear" w:color="auto" w:fill="auto"/>
            <w:vAlign w:val="center"/>
          </w:tcPr>
          <w:p w:rsidR="00175DEE" w:rsidRPr="007046BC" w:rsidRDefault="00175DEE" w:rsidP="002532F3">
            <w:pPr>
              <w:jc w:val="center"/>
              <w:rPr>
                <w:rFonts w:eastAsia="Calibri"/>
                <w:b/>
              </w:rPr>
            </w:pPr>
            <w:r w:rsidRPr="007046BC">
              <w:rPr>
                <w:rFonts w:eastAsia="Calibri"/>
                <w:b/>
              </w:rPr>
              <w:t>Rādītājs (materiāla/izejvielas nosaukums, atlīdzība un citi izmaksu veidi)</w:t>
            </w:r>
          </w:p>
        </w:tc>
        <w:tc>
          <w:tcPr>
            <w:tcW w:w="3532" w:type="dxa"/>
            <w:shd w:val="clear" w:color="auto" w:fill="auto"/>
            <w:vAlign w:val="center"/>
          </w:tcPr>
          <w:p w:rsidR="00175DEE" w:rsidRPr="007046BC" w:rsidRDefault="00175DEE" w:rsidP="002532F3">
            <w:pPr>
              <w:jc w:val="center"/>
              <w:rPr>
                <w:rFonts w:eastAsia="Calibri"/>
                <w:b/>
              </w:rPr>
            </w:pPr>
            <w:r w:rsidRPr="007046BC">
              <w:rPr>
                <w:rFonts w:eastAsia="Calibri"/>
                <w:b/>
              </w:rPr>
              <w:t>Izmaksu apjoms noteiktā laikposmā viena maksas pakalpojuma veida nodrošināšanai</w:t>
            </w:r>
          </w:p>
        </w:tc>
      </w:tr>
      <w:tr w:rsidR="00175DEE" w:rsidRPr="007046BC" w:rsidTr="002532F3">
        <w:trPr>
          <w:trHeight w:val="189"/>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1</w:t>
            </w:r>
          </w:p>
        </w:tc>
        <w:tc>
          <w:tcPr>
            <w:tcW w:w="1681" w:type="dxa"/>
            <w:shd w:val="clear" w:color="auto" w:fill="auto"/>
          </w:tcPr>
          <w:p w:rsidR="00175DEE" w:rsidRPr="007046BC" w:rsidRDefault="00175DEE" w:rsidP="002532F3">
            <w:pPr>
              <w:jc w:val="center"/>
              <w:rPr>
                <w:rFonts w:eastAsia="Calibri"/>
              </w:rPr>
            </w:pPr>
            <w:r w:rsidRPr="007046BC">
              <w:rPr>
                <w:rFonts w:eastAsia="Calibri"/>
              </w:rPr>
              <w:t>2</w:t>
            </w:r>
          </w:p>
        </w:tc>
        <w:tc>
          <w:tcPr>
            <w:tcW w:w="3145" w:type="dxa"/>
            <w:shd w:val="clear" w:color="auto" w:fill="auto"/>
          </w:tcPr>
          <w:p w:rsidR="00175DEE" w:rsidRPr="007046BC" w:rsidRDefault="00175DEE" w:rsidP="002532F3">
            <w:pPr>
              <w:jc w:val="center"/>
              <w:rPr>
                <w:rFonts w:eastAsia="Calibri"/>
              </w:rPr>
            </w:pPr>
            <w:r w:rsidRPr="007046BC">
              <w:rPr>
                <w:rFonts w:eastAsia="Calibri"/>
              </w:rPr>
              <w:t>3</w:t>
            </w:r>
          </w:p>
        </w:tc>
        <w:tc>
          <w:tcPr>
            <w:tcW w:w="3532" w:type="dxa"/>
            <w:shd w:val="clear" w:color="auto" w:fill="auto"/>
          </w:tcPr>
          <w:p w:rsidR="00175DEE" w:rsidRPr="007046BC" w:rsidRDefault="00175DEE" w:rsidP="002532F3">
            <w:pPr>
              <w:jc w:val="center"/>
              <w:rPr>
                <w:rFonts w:eastAsia="Calibri"/>
              </w:rPr>
            </w:pPr>
            <w:r w:rsidRPr="007046BC">
              <w:rPr>
                <w:rFonts w:eastAsia="Calibri"/>
              </w:rPr>
              <w:t>4</w:t>
            </w: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rPr>
            </w:pPr>
            <w:r w:rsidRPr="007046BC">
              <w:rPr>
                <w:rFonts w:eastAsia="Calibri"/>
              </w:rPr>
              <w:t>Tiešās izmaksas</w:t>
            </w:r>
          </w:p>
        </w:tc>
        <w:tc>
          <w:tcPr>
            <w:tcW w:w="3532" w:type="dxa"/>
            <w:shd w:val="clear" w:color="auto" w:fill="auto"/>
          </w:tcPr>
          <w:p w:rsidR="00175DEE" w:rsidRPr="007046BC" w:rsidRDefault="00175DEE" w:rsidP="002532F3">
            <w:pPr>
              <w:jc w:val="center"/>
              <w:rPr>
                <w:rFonts w:eastAsia="Calibri"/>
              </w:rPr>
            </w:pPr>
            <w:r w:rsidRPr="007046BC">
              <w:rPr>
                <w:rFonts w:eastAsia="Calibri"/>
              </w:rPr>
              <w:t>X</w:t>
            </w: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1</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center"/>
              <w:rPr>
                <w:rFonts w:eastAsia="Calibri"/>
              </w:rPr>
            </w:pP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2</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center"/>
              <w:rPr>
                <w:rFonts w:eastAsia="Calibri"/>
              </w:rPr>
            </w:pP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3</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center"/>
              <w:rPr>
                <w:rFonts w:eastAsia="Calibri"/>
              </w:rPr>
            </w:pP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u w:val="single"/>
              </w:rPr>
            </w:pPr>
            <w:r w:rsidRPr="007046BC">
              <w:rPr>
                <w:rFonts w:eastAsia="Calibri"/>
                <w:u w:val="single"/>
              </w:rPr>
              <w:t>Tiešās izmaksas kopā</w:t>
            </w:r>
          </w:p>
        </w:tc>
        <w:tc>
          <w:tcPr>
            <w:tcW w:w="3532" w:type="dxa"/>
            <w:shd w:val="clear" w:color="auto" w:fill="auto"/>
          </w:tcPr>
          <w:p w:rsidR="00175DEE" w:rsidRPr="007046BC" w:rsidRDefault="00175DEE" w:rsidP="002532F3">
            <w:pPr>
              <w:jc w:val="center"/>
              <w:rPr>
                <w:rFonts w:eastAsia="Calibri"/>
              </w:rPr>
            </w:pP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rPr>
            </w:pPr>
            <w:r w:rsidRPr="007046BC">
              <w:rPr>
                <w:rFonts w:eastAsia="Calibri"/>
              </w:rPr>
              <w:t>Netiešās izmaksas</w:t>
            </w:r>
          </w:p>
        </w:tc>
        <w:tc>
          <w:tcPr>
            <w:tcW w:w="3532" w:type="dxa"/>
            <w:shd w:val="clear" w:color="auto" w:fill="auto"/>
          </w:tcPr>
          <w:p w:rsidR="00175DEE" w:rsidRPr="007046BC" w:rsidRDefault="00175DEE" w:rsidP="002532F3">
            <w:pPr>
              <w:jc w:val="center"/>
              <w:rPr>
                <w:rFonts w:eastAsia="Calibri"/>
              </w:rPr>
            </w:pPr>
            <w:r w:rsidRPr="007046BC">
              <w:rPr>
                <w:rFonts w:eastAsia="Calibri"/>
              </w:rPr>
              <w:t>X</w:t>
            </w: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1</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both"/>
              <w:rPr>
                <w:rFonts w:eastAsia="Calibri"/>
              </w:rPr>
            </w:pP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2</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both"/>
              <w:rPr>
                <w:rFonts w:eastAsia="Calibri"/>
              </w:rPr>
            </w:pPr>
          </w:p>
        </w:tc>
      </w:tr>
      <w:tr w:rsidR="00175DEE" w:rsidRPr="007046BC" w:rsidTr="002532F3">
        <w:trPr>
          <w:jc w:val="center"/>
        </w:trPr>
        <w:tc>
          <w:tcPr>
            <w:tcW w:w="952" w:type="dxa"/>
            <w:shd w:val="clear" w:color="auto" w:fill="auto"/>
          </w:tcPr>
          <w:p w:rsidR="00175DEE" w:rsidRPr="007046BC" w:rsidRDefault="00175DEE" w:rsidP="002532F3">
            <w:pPr>
              <w:jc w:val="center"/>
              <w:rPr>
                <w:rFonts w:eastAsia="Calibri"/>
              </w:rPr>
            </w:pPr>
            <w:r w:rsidRPr="007046BC">
              <w:rPr>
                <w:rFonts w:eastAsia="Calibri"/>
              </w:rPr>
              <w:t>3</w:t>
            </w:r>
            <w:r>
              <w:rPr>
                <w:rFonts w:eastAsia="Calibri"/>
              </w:rPr>
              <w:t>.</w:t>
            </w:r>
          </w:p>
        </w:tc>
        <w:tc>
          <w:tcPr>
            <w:tcW w:w="1681" w:type="dxa"/>
            <w:shd w:val="clear" w:color="auto" w:fill="auto"/>
          </w:tcPr>
          <w:p w:rsidR="00175DEE" w:rsidRPr="007046BC" w:rsidRDefault="00175DEE" w:rsidP="002532F3">
            <w:pPr>
              <w:jc w:val="both"/>
              <w:rPr>
                <w:rFonts w:eastAsia="Calibri"/>
              </w:rPr>
            </w:pPr>
          </w:p>
        </w:tc>
        <w:tc>
          <w:tcPr>
            <w:tcW w:w="3145" w:type="dxa"/>
            <w:shd w:val="clear" w:color="auto" w:fill="auto"/>
          </w:tcPr>
          <w:p w:rsidR="00175DEE" w:rsidRPr="007046BC" w:rsidRDefault="00175DEE" w:rsidP="002532F3">
            <w:pPr>
              <w:jc w:val="both"/>
              <w:rPr>
                <w:rFonts w:eastAsia="Calibri"/>
              </w:rPr>
            </w:pPr>
          </w:p>
        </w:tc>
        <w:tc>
          <w:tcPr>
            <w:tcW w:w="3532" w:type="dxa"/>
            <w:shd w:val="clear" w:color="auto" w:fill="auto"/>
          </w:tcPr>
          <w:p w:rsidR="00175DEE" w:rsidRPr="007046BC" w:rsidRDefault="00175DEE" w:rsidP="002532F3">
            <w:pPr>
              <w:jc w:val="both"/>
              <w:rPr>
                <w:rFonts w:eastAsia="Calibri"/>
              </w:rPr>
            </w:pP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u w:val="single"/>
              </w:rPr>
            </w:pPr>
            <w:r w:rsidRPr="007046BC">
              <w:rPr>
                <w:rFonts w:eastAsia="Calibri"/>
                <w:u w:val="single"/>
              </w:rPr>
              <w:t>Netiešās izmaksas kopā</w:t>
            </w:r>
          </w:p>
        </w:tc>
        <w:tc>
          <w:tcPr>
            <w:tcW w:w="3532" w:type="dxa"/>
            <w:shd w:val="clear" w:color="auto" w:fill="auto"/>
          </w:tcPr>
          <w:p w:rsidR="00175DEE" w:rsidRPr="007046BC" w:rsidRDefault="00175DEE" w:rsidP="002532F3">
            <w:pPr>
              <w:jc w:val="both"/>
              <w:rPr>
                <w:rFonts w:eastAsia="Calibri"/>
              </w:rPr>
            </w:pP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b/>
              </w:rPr>
            </w:pPr>
            <w:r w:rsidRPr="007046BC">
              <w:rPr>
                <w:rFonts w:eastAsia="Calibri"/>
                <w:b/>
              </w:rPr>
              <w:t>Pakalpojuma izmaksas kopā</w:t>
            </w:r>
          </w:p>
        </w:tc>
        <w:tc>
          <w:tcPr>
            <w:tcW w:w="3532" w:type="dxa"/>
            <w:shd w:val="clear" w:color="auto" w:fill="auto"/>
          </w:tcPr>
          <w:p w:rsidR="00175DEE" w:rsidRPr="007046BC" w:rsidRDefault="00175DEE" w:rsidP="002532F3">
            <w:pPr>
              <w:jc w:val="both"/>
              <w:rPr>
                <w:rFonts w:eastAsia="Calibri"/>
                <w:b/>
              </w:rPr>
            </w:pPr>
          </w:p>
        </w:tc>
      </w:tr>
      <w:tr w:rsidR="00175DEE" w:rsidRPr="007046BC" w:rsidTr="002532F3">
        <w:trPr>
          <w:jc w:val="center"/>
        </w:trPr>
        <w:tc>
          <w:tcPr>
            <w:tcW w:w="5778" w:type="dxa"/>
            <w:gridSpan w:val="3"/>
            <w:shd w:val="clear" w:color="auto" w:fill="auto"/>
          </w:tcPr>
          <w:p w:rsidR="00175DEE" w:rsidRPr="007046BC" w:rsidRDefault="00175DEE" w:rsidP="002532F3">
            <w:pPr>
              <w:jc w:val="both"/>
              <w:rPr>
                <w:rFonts w:eastAsia="Calibri"/>
                <w:b/>
              </w:rPr>
            </w:pPr>
            <w:r w:rsidRPr="007046BC">
              <w:rPr>
                <w:rFonts w:eastAsia="Calibri"/>
                <w:b/>
              </w:rPr>
              <w:t xml:space="preserve">Maksas pakalpojumu izcenojums (eiro) </w:t>
            </w:r>
            <w:r w:rsidRPr="007046BC">
              <w:rPr>
                <w:rFonts w:eastAsia="Calibri"/>
              </w:rPr>
              <w:t>(pakalpojuma izmaksas kopā dalītas ar maksas pakalpojumu vienību skaitu noteiktā laikposmā)</w:t>
            </w:r>
          </w:p>
        </w:tc>
        <w:tc>
          <w:tcPr>
            <w:tcW w:w="3532" w:type="dxa"/>
            <w:shd w:val="clear" w:color="auto" w:fill="auto"/>
          </w:tcPr>
          <w:p w:rsidR="00175DEE" w:rsidRPr="007046BC" w:rsidRDefault="00175DEE" w:rsidP="002532F3">
            <w:pPr>
              <w:jc w:val="both"/>
              <w:rPr>
                <w:rFonts w:eastAsia="Calibri"/>
                <w:b/>
              </w:rPr>
            </w:pPr>
          </w:p>
        </w:tc>
      </w:tr>
    </w:tbl>
    <w:p w:rsidR="00175DEE" w:rsidRDefault="00175DEE" w:rsidP="00175DEE">
      <w:pPr>
        <w:jc w:val="both"/>
      </w:pPr>
    </w:p>
    <w:p w:rsidR="00175DEE" w:rsidRPr="007046BC" w:rsidRDefault="00175DEE" w:rsidP="00175DE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75DEE" w:rsidRPr="007046BC" w:rsidTr="002532F3">
        <w:trPr>
          <w:jc w:val="center"/>
        </w:trPr>
        <w:tc>
          <w:tcPr>
            <w:tcW w:w="4643" w:type="dxa"/>
            <w:shd w:val="clear" w:color="auto" w:fill="auto"/>
          </w:tcPr>
          <w:p w:rsidR="00175DEE" w:rsidRPr="007046BC" w:rsidRDefault="00175DEE" w:rsidP="002532F3">
            <w:pPr>
              <w:jc w:val="both"/>
              <w:rPr>
                <w:rFonts w:eastAsia="Calibri"/>
              </w:rPr>
            </w:pPr>
            <w:bookmarkStart w:id="33" w:name="p23"/>
            <w:bookmarkStart w:id="34" w:name="p-394266"/>
            <w:bookmarkEnd w:id="33"/>
            <w:bookmarkEnd w:id="34"/>
            <w:r w:rsidRPr="007046BC">
              <w:rPr>
                <w:rFonts w:eastAsia="Calibri"/>
              </w:rPr>
              <w:t>Prognozētais maksas pakalpojuma vienību skaits gadā (gab.)*</w:t>
            </w:r>
          </w:p>
        </w:tc>
        <w:tc>
          <w:tcPr>
            <w:tcW w:w="4644" w:type="dxa"/>
            <w:shd w:val="clear" w:color="auto" w:fill="auto"/>
          </w:tcPr>
          <w:p w:rsidR="00175DEE" w:rsidRPr="007046BC" w:rsidRDefault="00175DEE" w:rsidP="002532F3">
            <w:pPr>
              <w:jc w:val="both"/>
              <w:rPr>
                <w:rFonts w:eastAsia="Calibri"/>
              </w:rPr>
            </w:pPr>
          </w:p>
        </w:tc>
      </w:tr>
      <w:tr w:rsidR="00175DEE" w:rsidRPr="007046BC" w:rsidTr="002532F3">
        <w:trPr>
          <w:jc w:val="center"/>
        </w:trPr>
        <w:tc>
          <w:tcPr>
            <w:tcW w:w="4643" w:type="dxa"/>
            <w:shd w:val="clear" w:color="auto" w:fill="auto"/>
          </w:tcPr>
          <w:p w:rsidR="00175DEE" w:rsidRPr="007046BC" w:rsidRDefault="00175DEE" w:rsidP="002532F3">
            <w:pPr>
              <w:jc w:val="both"/>
              <w:rPr>
                <w:rFonts w:eastAsia="Calibri"/>
              </w:rPr>
            </w:pPr>
            <w:r w:rsidRPr="007046BC">
              <w:rPr>
                <w:rFonts w:eastAsia="Calibri"/>
              </w:rPr>
              <w:t>Prognozējamie ieņēmumi no pakalpojuma gadā (eiro) (prognozējamais maksas pakalpojumu skaits gadā reizināts ar maksas pakalpojumu izcenojumu)*</w:t>
            </w:r>
          </w:p>
        </w:tc>
        <w:tc>
          <w:tcPr>
            <w:tcW w:w="4644" w:type="dxa"/>
            <w:shd w:val="clear" w:color="auto" w:fill="auto"/>
          </w:tcPr>
          <w:p w:rsidR="00175DEE" w:rsidRPr="007046BC" w:rsidRDefault="00175DEE" w:rsidP="002532F3">
            <w:pPr>
              <w:jc w:val="both"/>
              <w:rPr>
                <w:rFonts w:eastAsia="Calibri"/>
              </w:rPr>
            </w:pPr>
          </w:p>
        </w:tc>
      </w:tr>
    </w:tbl>
    <w:p w:rsidR="00175DEE" w:rsidRPr="007046BC" w:rsidRDefault="00175DEE" w:rsidP="00175DEE">
      <w:pPr>
        <w:ind w:left="142"/>
        <w:jc w:val="both"/>
      </w:pPr>
      <w:r w:rsidRPr="007046BC">
        <w:t>*Ailes neaizpilda, ja izvēlētais laikposms aprēķinam ir viens gads.</w:t>
      </w:r>
    </w:p>
    <w:p w:rsidR="00175DEE" w:rsidRPr="007046BC" w:rsidRDefault="00175DEE" w:rsidP="00175DEE"/>
    <w:p w:rsidR="00175DEE" w:rsidRPr="007046BC" w:rsidRDefault="00175DEE" w:rsidP="00175DEE"/>
    <w:p w:rsidR="00175DEE" w:rsidRPr="007046BC" w:rsidRDefault="00175DEE" w:rsidP="00175DEE">
      <w:pPr>
        <w:ind w:left="142"/>
      </w:pPr>
      <w:r w:rsidRPr="007046BC">
        <w:t>Aprēķinu sastādīja:____________________________________________________________</w:t>
      </w:r>
    </w:p>
    <w:p w:rsidR="00175DEE" w:rsidRPr="007046BC" w:rsidRDefault="00175DEE" w:rsidP="00175DEE">
      <w:r w:rsidRPr="007046BC">
        <w:tab/>
      </w:r>
      <w:r w:rsidRPr="007046BC">
        <w:tab/>
      </w:r>
      <w:r w:rsidRPr="007046BC">
        <w:tab/>
      </w:r>
      <w:r w:rsidRPr="007046BC">
        <w:tab/>
        <w:t>(amats)                 (vārds, uzvārds)                            (paraksts)</w:t>
      </w:r>
    </w:p>
    <w:p w:rsidR="00175DEE" w:rsidRDefault="00175DEE" w:rsidP="00175DEE">
      <w:pPr>
        <w:jc w:val="right"/>
        <w:sectPr w:rsidR="00175DEE" w:rsidSect="00EF3E3E">
          <w:headerReference w:type="first" r:id="rId9"/>
          <w:pgSz w:w="11906" w:h="16838"/>
          <w:pgMar w:top="1134" w:right="567" w:bottom="1134" w:left="1701" w:header="709" w:footer="709" w:gutter="0"/>
          <w:pgNumType w:start="1"/>
          <w:cols w:space="708"/>
          <w:titlePg/>
          <w:docGrid w:linePitch="360"/>
        </w:sectPr>
      </w:pPr>
      <w:bookmarkStart w:id="35" w:name="piel2"/>
      <w:bookmarkEnd w:id="35"/>
    </w:p>
    <w:p w:rsidR="00175DEE" w:rsidRPr="00DC186D" w:rsidRDefault="00175DEE" w:rsidP="00175DEE">
      <w:pPr>
        <w:ind w:left="4820"/>
        <w:rPr>
          <w:b/>
          <w:bCs/>
        </w:rPr>
      </w:pPr>
      <w:r>
        <w:rPr>
          <w:b/>
          <w:bCs/>
        </w:rPr>
        <w:lastRenderedPageBreak/>
        <w:t>2</w:t>
      </w:r>
      <w:r w:rsidRPr="00DC186D">
        <w:rPr>
          <w:b/>
          <w:bCs/>
        </w:rPr>
        <w:t>.PIELIKUMS</w:t>
      </w:r>
    </w:p>
    <w:p w:rsidR="00175DEE" w:rsidRPr="00DC186D" w:rsidRDefault="00175DEE" w:rsidP="00175DEE">
      <w:pPr>
        <w:ind w:left="4820"/>
        <w:rPr>
          <w:bCs/>
        </w:rPr>
      </w:pPr>
      <w:r w:rsidRPr="00DC186D">
        <w:rPr>
          <w:bCs/>
        </w:rPr>
        <w:t xml:space="preserve">Noteikumiem „Limbažu novada pašvaldības, </w:t>
      </w:r>
    </w:p>
    <w:p w:rsidR="00175DEE" w:rsidRPr="00DC186D" w:rsidRDefault="00175DEE" w:rsidP="00175DEE">
      <w:pPr>
        <w:ind w:left="4820"/>
        <w:rPr>
          <w:bCs/>
        </w:rPr>
      </w:pPr>
      <w:r w:rsidRPr="00DC186D">
        <w:rPr>
          <w:bCs/>
        </w:rPr>
        <w:t xml:space="preserve">tās iestāžu un struktūrvienību sniegto maksas </w:t>
      </w:r>
    </w:p>
    <w:p w:rsidR="00175DEE" w:rsidRPr="00DC186D" w:rsidRDefault="00175DEE" w:rsidP="00175DEE">
      <w:pPr>
        <w:ind w:left="4820"/>
        <w:rPr>
          <w:bCs/>
        </w:rPr>
      </w:pPr>
      <w:r w:rsidRPr="00DC186D">
        <w:rPr>
          <w:bCs/>
        </w:rPr>
        <w:t xml:space="preserve">pakalpojumu izcenojumu aprēķināšanas metodika </w:t>
      </w:r>
    </w:p>
    <w:p w:rsidR="00175DEE" w:rsidRPr="00DC186D" w:rsidRDefault="00175DEE" w:rsidP="00175DEE">
      <w:pPr>
        <w:ind w:left="4820"/>
        <w:rPr>
          <w:bCs/>
        </w:rPr>
      </w:pPr>
      <w:r w:rsidRPr="00DC186D">
        <w:rPr>
          <w:bCs/>
        </w:rPr>
        <w:t>un izcenojumu apstiprināšanas kārtība”</w:t>
      </w:r>
    </w:p>
    <w:p w:rsidR="00175DEE" w:rsidRPr="00DC186D" w:rsidRDefault="00175DEE" w:rsidP="00175DEE">
      <w:pPr>
        <w:jc w:val="right"/>
      </w:pPr>
    </w:p>
    <w:p w:rsidR="00175DEE" w:rsidRPr="00DC186D" w:rsidRDefault="00175DEE" w:rsidP="00175DEE">
      <w:pPr>
        <w:jc w:val="center"/>
        <w:rPr>
          <w:b/>
          <w:sz w:val="28"/>
          <w:szCs w:val="28"/>
        </w:rPr>
      </w:pPr>
      <w:r w:rsidRPr="00DC186D">
        <w:rPr>
          <w:b/>
          <w:sz w:val="28"/>
          <w:szCs w:val="28"/>
        </w:rPr>
        <w:t>_______________________________ maksas pakalpojumu cenrādis</w:t>
      </w:r>
    </w:p>
    <w:p w:rsidR="00175DEE" w:rsidRPr="00DC186D" w:rsidRDefault="00175DEE" w:rsidP="00175DEE">
      <w:pPr>
        <w:ind w:left="1440" w:firstLine="720"/>
        <w:jc w:val="both"/>
      </w:pPr>
      <w:r w:rsidRPr="00DC186D">
        <w:t>(iestāde vai struktūrvienība)</w:t>
      </w:r>
    </w:p>
    <w:p w:rsidR="00175DEE" w:rsidRPr="00DC186D" w:rsidRDefault="00175DEE" w:rsidP="00175DEE">
      <w:pPr>
        <w:ind w:left="1440" w:hanging="1440"/>
      </w:pPr>
    </w:p>
    <w:p w:rsidR="00175DEE" w:rsidRPr="00DC186D" w:rsidRDefault="00175DEE" w:rsidP="00175DEE">
      <w:pPr>
        <w:jc w:val="right"/>
      </w:pPr>
      <w:r w:rsidRPr="00DC186D">
        <w:br/>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96"/>
        <w:gridCol w:w="1323"/>
        <w:gridCol w:w="1325"/>
        <w:gridCol w:w="992"/>
        <w:gridCol w:w="1418"/>
        <w:gridCol w:w="1275"/>
      </w:tblGrid>
      <w:tr w:rsidR="00DC186D" w:rsidRPr="00DC186D" w:rsidTr="00175DEE">
        <w:trPr>
          <w:jc w:val="center"/>
        </w:trPr>
        <w:tc>
          <w:tcPr>
            <w:tcW w:w="534" w:type="dxa"/>
            <w:shd w:val="clear" w:color="auto" w:fill="auto"/>
            <w:vAlign w:val="center"/>
          </w:tcPr>
          <w:p w:rsidR="00175DEE" w:rsidRPr="00DC186D" w:rsidRDefault="00175DEE" w:rsidP="002532F3">
            <w:pPr>
              <w:ind w:left="-142" w:right="-108"/>
              <w:jc w:val="center"/>
              <w:rPr>
                <w:rFonts w:eastAsia="Calibri"/>
              </w:rPr>
            </w:pPr>
            <w:r w:rsidRPr="00DC186D">
              <w:rPr>
                <w:rFonts w:eastAsia="Calibri"/>
              </w:rPr>
              <w:t>Nr.</w:t>
            </w:r>
          </w:p>
          <w:p w:rsidR="00175DEE" w:rsidRPr="00DC186D" w:rsidRDefault="00175DEE" w:rsidP="002532F3">
            <w:pPr>
              <w:ind w:left="-142" w:right="-108"/>
              <w:jc w:val="center"/>
              <w:rPr>
                <w:rFonts w:eastAsia="Calibri"/>
              </w:rPr>
            </w:pPr>
            <w:r w:rsidRPr="00DC186D">
              <w:rPr>
                <w:rFonts w:eastAsia="Calibri"/>
              </w:rPr>
              <w:t>p.k.</w:t>
            </w:r>
          </w:p>
        </w:tc>
        <w:tc>
          <w:tcPr>
            <w:tcW w:w="2596" w:type="dxa"/>
            <w:shd w:val="clear" w:color="auto" w:fill="auto"/>
            <w:vAlign w:val="center"/>
          </w:tcPr>
          <w:p w:rsidR="00175DEE" w:rsidRPr="00DC186D" w:rsidRDefault="00175DEE" w:rsidP="002532F3">
            <w:pPr>
              <w:jc w:val="center"/>
              <w:rPr>
                <w:rFonts w:eastAsia="Calibri"/>
              </w:rPr>
            </w:pPr>
            <w:r w:rsidRPr="00DC186D">
              <w:rPr>
                <w:rFonts w:eastAsia="Calibri"/>
              </w:rPr>
              <w:t>Pakalpojuma veids</w:t>
            </w:r>
          </w:p>
        </w:tc>
        <w:tc>
          <w:tcPr>
            <w:tcW w:w="1323" w:type="dxa"/>
            <w:shd w:val="clear" w:color="auto" w:fill="auto"/>
            <w:vAlign w:val="center"/>
          </w:tcPr>
          <w:p w:rsidR="00175DEE" w:rsidRPr="00DC186D" w:rsidRDefault="00175DEE" w:rsidP="002532F3">
            <w:pPr>
              <w:jc w:val="center"/>
              <w:rPr>
                <w:rFonts w:eastAsia="Calibri"/>
              </w:rPr>
            </w:pPr>
            <w:r w:rsidRPr="00DC186D">
              <w:rPr>
                <w:rFonts w:eastAsia="Calibri"/>
              </w:rPr>
              <w:t>Mērvienība</w:t>
            </w:r>
          </w:p>
        </w:tc>
        <w:tc>
          <w:tcPr>
            <w:tcW w:w="1325" w:type="dxa"/>
            <w:shd w:val="clear" w:color="auto" w:fill="auto"/>
            <w:vAlign w:val="center"/>
          </w:tcPr>
          <w:p w:rsidR="00175DEE" w:rsidRPr="00DC186D" w:rsidRDefault="00175DEE" w:rsidP="002532F3">
            <w:pPr>
              <w:jc w:val="center"/>
              <w:rPr>
                <w:rFonts w:eastAsia="Calibri"/>
              </w:rPr>
            </w:pPr>
            <w:r w:rsidRPr="00DC186D">
              <w:rPr>
                <w:rFonts w:eastAsia="Calibri"/>
              </w:rPr>
              <w:t>Cena bez PVN (eiro)</w:t>
            </w:r>
          </w:p>
        </w:tc>
        <w:tc>
          <w:tcPr>
            <w:tcW w:w="992" w:type="dxa"/>
            <w:shd w:val="clear" w:color="auto" w:fill="auto"/>
            <w:vAlign w:val="center"/>
          </w:tcPr>
          <w:p w:rsidR="00175DEE" w:rsidRPr="00DC186D" w:rsidRDefault="00175DEE" w:rsidP="002532F3">
            <w:pPr>
              <w:jc w:val="center"/>
              <w:rPr>
                <w:rFonts w:eastAsia="Calibri"/>
              </w:rPr>
            </w:pPr>
            <w:r w:rsidRPr="00DC186D">
              <w:rPr>
                <w:rFonts w:eastAsia="Calibri"/>
              </w:rPr>
              <w:t>PVN (eiro)</w:t>
            </w:r>
          </w:p>
        </w:tc>
        <w:tc>
          <w:tcPr>
            <w:tcW w:w="1418" w:type="dxa"/>
            <w:shd w:val="clear" w:color="auto" w:fill="auto"/>
            <w:vAlign w:val="center"/>
          </w:tcPr>
          <w:p w:rsidR="00175DEE" w:rsidRPr="00DC186D" w:rsidRDefault="00175DEE" w:rsidP="002532F3">
            <w:pPr>
              <w:jc w:val="center"/>
              <w:rPr>
                <w:rFonts w:eastAsia="Calibri"/>
              </w:rPr>
            </w:pPr>
            <w:r w:rsidRPr="00DC186D">
              <w:rPr>
                <w:rFonts w:eastAsia="Calibri"/>
              </w:rPr>
              <w:t>Cena ar PVN (eiro)</w:t>
            </w:r>
          </w:p>
        </w:tc>
        <w:tc>
          <w:tcPr>
            <w:tcW w:w="1275" w:type="dxa"/>
            <w:shd w:val="clear" w:color="auto" w:fill="auto"/>
            <w:vAlign w:val="center"/>
          </w:tcPr>
          <w:p w:rsidR="00175DEE" w:rsidRPr="00DC186D" w:rsidRDefault="00175DEE" w:rsidP="002532F3">
            <w:pPr>
              <w:jc w:val="center"/>
              <w:rPr>
                <w:rFonts w:eastAsia="Calibri"/>
              </w:rPr>
            </w:pPr>
            <w:r w:rsidRPr="00DC186D">
              <w:rPr>
                <w:rFonts w:eastAsia="Calibri"/>
              </w:rPr>
              <w:t>Piezīmes*</w:t>
            </w:r>
          </w:p>
        </w:tc>
      </w:tr>
      <w:tr w:rsidR="00DC186D" w:rsidRPr="00DC186D" w:rsidTr="002532F3">
        <w:trPr>
          <w:jc w:val="center"/>
        </w:trPr>
        <w:tc>
          <w:tcPr>
            <w:tcW w:w="534" w:type="dxa"/>
            <w:shd w:val="clear" w:color="auto" w:fill="auto"/>
          </w:tcPr>
          <w:p w:rsidR="00175DEE" w:rsidRPr="00DC186D" w:rsidRDefault="00175DEE" w:rsidP="002532F3">
            <w:pPr>
              <w:jc w:val="center"/>
              <w:rPr>
                <w:rFonts w:eastAsia="Calibri"/>
              </w:rPr>
            </w:pPr>
            <w:r w:rsidRPr="00DC186D">
              <w:rPr>
                <w:rFonts w:eastAsia="Calibri"/>
              </w:rPr>
              <w:t>1</w:t>
            </w:r>
            <w:r w:rsidRPr="00DC186D">
              <w:rPr>
                <w:rFonts w:eastAsia="Calibri"/>
              </w:rPr>
              <w:t>.</w:t>
            </w:r>
          </w:p>
        </w:tc>
        <w:tc>
          <w:tcPr>
            <w:tcW w:w="2596" w:type="dxa"/>
            <w:shd w:val="clear" w:color="auto" w:fill="auto"/>
          </w:tcPr>
          <w:p w:rsidR="00175DEE" w:rsidRPr="00DC186D" w:rsidRDefault="00175DEE" w:rsidP="002532F3">
            <w:pPr>
              <w:jc w:val="right"/>
              <w:rPr>
                <w:rFonts w:eastAsia="Calibri"/>
              </w:rPr>
            </w:pPr>
          </w:p>
        </w:tc>
        <w:tc>
          <w:tcPr>
            <w:tcW w:w="1323" w:type="dxa"/>
            <w:shd w:val="clear" w:color="auto" w:fill="auto"/>
          </w:tcPr>
          <w:p w:rsidR="00175DEE" w:rsidRPr="00DC186D" w:rsidRDefault="00175DEE" w:rsidP="002532F3">
            <w:pPr>
              <w:jc w:val="right"/>
              <w:rPr>
                <w:rFonts w:eastAsia="Calibri"/>
              </w:rPr>
            </w:pPr>
          </w:p>
        </w:tc>
        <w:tc>
          <w:tcPr>
            <w:tcW w:w="1325" w:type="dxa"/>
            <w:shd w:val="clear" w:color="auto" w:fill="auto"/>
          </w:tcPr>
          <w:p w:rsidR="00175DEE" w:rsidRPr="00DC186D" w:rsidRDefault="00175DEE" w:rsidP="002532F3">
            <w:pPr>
              <w:jc w:val="right"/>
              <w:rPr>
                <w:rFonts w:eastAsia="Calibri"/>
              </w:rPr>
            </w:pPr>
          </w:p>
        </w:tc>
        <w:tc>
          <w:tcPr>
            <w:tcW w:w="992" w:type="dxa"/>
            <w:shd w:val="clear" w:color="auto" w:fill="auto"/>
          </w:tcPr>
          <w:p w:rsidR="00175DEE" w:rsidRPr="00DC186D" w:rsidRDefault="00175DEE" w:rsidP="002532F3">
            <w:pPr>
              <w:jc w:val="right"/>
              <w:rPr>
                <w:rFonts w:eastAsia="Calibri"/>
              </w:rPr>
            </w:pPr>
          </w:p>
        </w:tc>
        <w:tc>
          <w:tcPr>
            <w:tcW w:w="1418" w:type="dxa"/>
            <w:shd w:val="clear" w:color="auto" w:fill="auto"/>
          </w:tcPr>
          <w:p w:rsidR="00175DEE" w:rsidRPr="00DC186D" w:rsidRDefault="00175DEE" w:rsidP="002532F3">
            <w:pPr>
              <w:jc w:val="right"/>
              <w:rPr>
                <w:rFonts w:eastAsia="Calibri"/>
              </w:rPr>
            </w:pPr>
          </w:p>
        </w:tc>
        <w:tc>
          <w:tcPr>
            <w:tcW w:w="1275" w:type="dxa"/>
            <w:shd w:val="clear" w:color="auto" w:fill="auto"/>
          </w:tcPr>
          <w:p w:rsidR="00175DEE" w:rsidRPr="00DC186D" w:rsidRDefault="00175DEE" w:rsidP="002532F3">
            <w:pPr>
              <w:jc w:val="right"/>
              <w:rPr>
                <w:rFonts w:eastAsia="Calibri"/>
              </w:rPr>
            </w:pPr>
          </w:p>
        </w:tc>
      </w:tr>
      <w:tr w:rsidR="00DC186D" w:rsidRPr="00DC186D" w:rsidTr="002532F3">
        <w:trPr>
          <w:jc w:val="center"/>
        </w:trPr>
        <w:tc>
          <w:tcPr>
            <w:tcW w:w="534" w:type="dxa"/>
            <w:shd w:val="clear" w:color="auto" w:fill="auto"/>
          </w:tcPr>
          <w:p w:rsidR="00175DEE" w:rsidRPr="00DC186D" w:rsidRDefault="00175DEE" w:rsidP="002532F3">
            <w:pPr>
              <w:jc w:val="center"/>
              <w:rPr>
                <w:rFonts w:eastAsia="Calibri"/>
              </w:rPr>
            </w:pPr>
            <w:r w:rsidRPr="00DC186D">
              <w:rPr>
                <w:rFonts w:eastAsia="Calibri"/>
              </w:rPr>
              <w:t>2</w:t>
            </w:r>
            <w:r w:rsidRPr="00DC186D">
              <w:rPr>
                <w:rFonts w:eastAsia="Calibri"/>
              </w:rPr>
              <w:t>.</w:t>
            </w:r>
          </w:p>
        </w:tc>
        <w:tc>
          <w:tcPr>
            <w:tcW w:w="2596" w:type="dxa"/>
            <w:shd w:val="clear" w:color="auto" w:fill="auto"/>
          </w:tcPr>
          <w:p w:rsidR="00175DEE" w:rsidRPr="00DC186D" w:rsidRDefault="00175DEE" w:rsidP="002532F3">
            <w:pPr>
              <w:jc w:val="right"/>
              <w:rPr>
                <w:rFonts w:eastAsia="Calibri"/>
              </w:rPr>
            </w:pPr>
          </w:p>
        </w:tc>
        <w:tc>
          <w:tcPr>
            <w:tcW w:w="1323" w:type="dxa"/>
            <w:shd w:val="clear" w:color="auto" w:fill="auto"/>
          </w:tcPr>
          <w:p w:rsidR="00175DEE" w:rsidRPr="00DC186D" w:rsidRDefault="00175DEE" w:rsidP="002532F3">
            <w:pPr>
              <w:jc w:val="right"/>
              <w:rPr>
                <w:rFonts w:eastAsia="Calibri"/>
              </w:rPr>
            </w:pPr>
          </w:p>
        </w:tc>
        <w:tc>
          <w:tcPr>
            <w:tcW w:w="1325" w:type="dxa"/>
            <w:shd w:val="clear" w:color="auto" w:fill="auto"/>
          </w:tcPr>
          <w:p w:rsidR="00175DEE" w:rsidRPr="00DC186D" w:rsidRDefault="00175DEE" w:rsidP="002532F3">
            <w:pPr>
              <w:jc w:val="right"/>
              <w:rPr>
                <w:rFonts w:eastAsia="Calibri"/>
              </w:rPr>
            </w:pPr>
          </w:p>
        </w:tc>
        <w:tc>
          <w:tcPr>
            <w:tcW w:w="992" w:type="dxa"/>
            <w:shd w:val="clear" w:color="auto" w:fill="auto"/>
          </w:tcPr>
          <w:p w:rsidR="00175DEE" w:rsidRPr="00DC186D" w:rsidRDefault="00175DEE" w:rsidP="002532F3">
            <w:pPr>
              <w:jc w:val="right"/>
              <w:rPr>
                <w:rFonts w:eastAsia="Calibri"/>
              </w:rPr>
            </w:pPr>
          </w:p>
        </w:tc>
        <w:tc>
          <w:tcPr>
            <w:tcW w:w="1418" w:type="dxa"/>
            <w:shd w:val="clear" w:color="auto" w:fill="auto"/>
          </w:tcPr>
          <w:p w:rsidR="00175DEE" w:rsidRPr="00DC186D" w:rsidRDefault="00175DEE" w:rsidP="002532F3">
            <w:pPr>
              <w:jc w:val="right"/>
              <w:rPr>
                <w:rFonts w:eastAsia="Calibri"/>
              </w:rPr>
            </w:pPr>
          </w:p>
        </w:tc>
        <w:tc>
          <w:tcPr>
            <w:tcW w:w="1275" w:type="dxa"/>
            <w:shd w:val="clear" w:color="auto" w:fill="auto"/>
          </w:tcPr>
          <w:p w:rsidR="00175DEE" w:rsidRPr="00DC186D" w:rsidRDefault="00175DEE" w:rsidP="002532F3">
            <w:pPr>
              <w:jc w:val="right"/>
              <w:rPr>
                <w:rFonts w:eastAsia="Calibri"/>
              </w:rPr>
            </w:pPr>
          </w:p>
        </w:tc>
      </w:tr>
      <w:tr w:rsidR="00175DEE" w:rsidRPr="007046BC" w:rsidTr="002532F3">
        <w:trPr>
          <w:jc w:val="center"/>
        </w:trPr>
        <w:tc>
          <w:tcPr>
            <w:tcW w:w="534" w:type="dxa"/>
            <w:shd w:val="clear" w:color="auto" w:fill="auto"/>
          </w:tcPr>
          <w:p w:rsidR="00175DEE" w:rsidRPr="007046BC" w:rsidRDefault="00175DEE" w:rsidP="002532F3">
            <w:pPr>
              <w:jc w:val="center"/>
              <w:rPr>
                <w:rFonts w:eastAsia="Calibri"/>
              </w:rPr>
            </w:pPr>
            <w:r w:rsidRPr="007046BC">
              <w:rPr>
                <w:rFonts w:eastAsia="Calibri"/>
              </w:rPr>
              <w:t>3</w:t>
            </w:r>
            <w:r>
              <w:rPr>
                <w:rFonts w:eastAsia="Calibri"/>
              </w:rPr>
              <w:t>.</w:t>
            </w:r>
          </w:p>
        </w:tc>
        <w:tc>
          <w:tcPr>
            <w:tcW w:w="2596" w:type="dxa"/>
            <w:shd w:val="clear" w:color="auto" w:fill="auto"/>
          </w:tcPr>
          <w:p w:rsidR="00175DEE" w:rsidRPr="007046BC" w:rsidRDefault="00175DEE" w:rsidP="002532F3">
            <w:pPr>
              <w:jc w:val="right"/>
              <w:rPr>
                <w:rFonts w:eastAsia="Calibri"/>
              </w:rPr>
            </w:pPr>
          </w:p>
        </w:tc>
        <w:tc>
          <w:tcPr>
            <w:tcW w:w="1323" w:type="dxa"/>
            <w:shd w:val="clear" w:color="auto" w:fill="auto"/>
          </w:tcPr>
          <w:p w:rsidR="00175DEE" w:rsidRPr="007046BC" w:rsidRDefault="00175DEE" w:rsidP="002532F3">
            <w:pPr>
              <w:jc w:val="right"/>
              <w:rPr>
                <w:rFonts w:eastAsia="Calibri"/>
              </w:rPr>
            </w:pPr>
          </w:p>
        </w:tc>
        <w:tc>
          <w:tcPr>
            <w:tcW w:w="1325" w:type="dxa"/>
            <w:shd w:val="clear" w:color="auto" w:fill="auto"/>
          </w:tcPr>
          <w:p w:rsidR="00175DEE" w:rsidRPr="007046BC" w:rsidRDefault="00175DEE" w:rsidP="002532F3">
            <w:pPr>
              <w:jc w:val="right"/>
              <w:rPr>
                <w:rFonts w:eastAsia="Calibri"/>
              </w:rPr>
            </w:pPr>
          </w:p>
        </w:tc>
        <w:tc>
          <w:tcPr>
            <w:tcW w:w="992" w:type="dxa"/>
            <w:shd w:val="clear" w:color="auto" w:fill="auto"/>
          </w:tcPr>
          <w:p w:rsidR="00175DEE" w:rsidRPr="007046BC" w:rsidRDefault="00175DEE" w:rsidP="002532F3">
            <w:pPr>
              <w:jc w:val="right"/>
              <w:rPr>
                <w:rFonts w:eastAsia="Calibri"/>
              </w:rPr>
            </w:pPr>
          </w:p>
        </w:tc>
        <w:tc>
          <w:tcPr>
            <w:tcW w:w="1418" w:type="dxa"/>
            <w:shd w:val="clear" w:color="auto" w:fill="auto"/>
          </w:tcPr>
          <w:p w:rsidR="00175DEE" w:rsidRPr="007046BC" w:rsidRDefault="00175DEE" w:rsidP="002532F3">
            <w:pPr>
              <w:jc w:val="right"/>
              <w:rPr>
                <w:rFonts w:eastAsia="Calibri"/>
              </w:rPr>
            </w:pPr>
          </w:p>
        </w:tc>
        <w:tc>
          <w:tcPr>
            <w:tcW w:w="1275" w:type="dxa"/>
            <w:shd w:val="clear" w:color="auto" w:fill="auto"/>
          </w:tcPr>
          <w:p w:rsidR="00175DEE" w:rsidRPr="007046BC" w:rsidRDefault="00175DEE" w:rsidP="002532F3">
            <w:pPr>
              <w:jc w:val="right"/>
              <w:rPr>
                <w:rFonts w:eastAsia="Calibri"/>
              </w:rPr>
            </w:pPr>
          </w:p>
        </w:tc>
      </w:tr>
      <w:tr w:rsidR="00175DEE" w:rsidRPr="007046BC" w:rsidTr="002532F3">
        <w:trPr>
          <w:jc w:val="center"/>
        </w:trPr>
        <w:tc>
          <w:tcPr>
            <w:tcW w:w="534" w:type="dxa"/>
            <w:shd w:val="clear" w:color="auto" w:fill="auto"/>
          </w:tcPr>
          <w:p w:rsidR="00175DEE" w:rsidRPr="007046BC" w:rsidRDefault="00175DEE" w:rsidP="002532F3">
            <w:pPr>
              <w:jc w:val="center"/>
              <w:rPr>
                <w:rFonts w:eastAsia="Calibri"/>
              </w:rPr>
            </w:pPr>
            <w:r w:rsidRPr="007046BC">
              <w:rPr>
                <w:rFonts w:eastAsia="Calibri"/>
              </w:rPr>
              <w:t>4</w:t>
            </w:r>
            <w:r>
              <w:rPr>
                <w:rFonts w:eastAsia="Calibri"/>
              </w:rPr>
              <w:t>.</w:t>
            </w:r>
          </w:p>
        </w:tc>
        <w:tc>
          <w:tcPr>
            <w:tcW w:w="2596" w:type="dxa"/>
            <w:shd w:val="clear" w:color="auto" w:fill="auto"/>
          </w:tcPr>
          <w:p w:rsidR="00175DEE" w:rsidRPr="007046BC" w:rsidRDefault="00175DEE" w:rsidP="002532F3">
            <w:pPr>
              <w:jc w:val="right"/>
              <w:rPr>
                <w:rFonts w:eastAsia="Calibri"/>
              </w:rPr>
            </w:pPr>
          </w:p>
        </w:tc>
        <w:tc>
          <w:tcPr>
            <w:tcW w:w="1323" w:type="dxa"/>
            <w:shd w:val="clear" w:color="auto" w:fill="auto"/>
          </w:tcPr>
          <w:p w:rsidR="00175DEE" w:rsidRPr="007046BC" w:rsidRDefault="00175DEE" w:rsidP="002532F3">
            <w:pPr>
              <w:jc w:val="right"/>
              <w:rPr>
                <w:rFonts w:eastAsia="Calibri"/>
              </w:rPr>
            </w:pPr>
          </w:p>
        </w:tc>
        <w:tc>
          <w:tcPr>
            <w:tcW w:w="1325" w:type="dxa"/>
            <w:shd w:val="clear" w:color="auto" w:fill="auto"/>
          </w:tcPr>
          <w:p w:rsidR="00175DEE" w:rsidRPr="007046BC" w:rsidRDefault="00175DEE" w:rsidP="002532F3">
            <w:pPr>
              <w:jc w:val="right"/>
              <w:rPr>
                <w:rFonts w:eastAsia="Calibri"/>
              </w:rPr>
            </w:pPr>
          </w:p>
        </w:tc>
        <w:tc>
          <w:tcPr>
            <w:tcW w:w="992" w:type="dxa"/>
            <w:shd w:val="clear" w:color="auto" w:fill="auto"/>
          </w:tcPr>
          <w:p w:rsidR="00175DEE" w:rsidRPr="007046BC" w:rsidRDefault="00175DEE" w:rsidP="002532F3">
            <w:pPr>
              <w:jc w:val="right"/>
              <w:rPr>
                <w:rFonts w:eastAsia="Calibri"/>
              </w:rPr>
            </w:pPr>
          </w:p>
        </w:tc>
        <w:tc>
          <w:tcPr>
            <w:tcW w:w="1418" w:type="dxa"/>
            <w:shd w:val="clear" w:color="auto" w:fill="auto"/>
          </w:tcPr>
          <w:p w:rsidR="00175DEE" w:rsidRPr="007046BC" w:rsidRDefault="00175DEE" w:rsidP="002532F3">
            <w:pPr>
              <w:jc w:val="right"/>
              <w:rPr>
                <w:rFonts w:eastAsia="Calibri"/>
              </w:rPr>
            </w:pPr>
          </w:p>
        </w:tc>
        <w:tc>
          <w:tcPr>
            <w:tcW w:w="1275" w:type="dxa"/>
            <w:shd w:val="clear" w:color="auto" w:fill="auto"/>
          </w:tcPr>
          <w:p w:rsidR="00175DEE" w:rsidRPr="007046BC" w:rsidRDefault="00175DEE" w:rsidP="002532F3">
            <w:pPr>
              <w:jc w:val="right"/>
              <w:rPr>
                <w:rFonts w:eastAsia="Calibri"/>
              </w:rPr>
            </w:pPr>
          </w:p>
        </w:tc>
      </w:tr>
      <w:tr w:rsidR="00175DEE" w:rsidRPr="007046BC" w:rsidTr="002532F3">
        <w:trPr>
          <w:jc w:val="center"/>
        </w:trPr>
        <w:tc>
          <w:tcPr>
            <w:tcW w:w="534" w:type="dxa"/>
            <w:shd w:val="clear" w:color="auto" w:fill="auto"/>
          </w:tcPr>
          <w:p w:rsidR="00175DEE" w:rsidRPr="007046BC" w:rsidRDefault="00175DEE" w:rsidP="002532F3">
            <w:pPr>
              <w:jc w:val="center"/>
              <w:rPr>
                <w:rFonts w:eastAsia="Calibri"/>
              </w:rPr>
            </w:pPr>
            <w:r w:rsidRPr="007046BC">
              <w:rPr>
                <w:rFonts w:eastAsia="Calibri"/>
              </w:rPr>
              <w:t>5</w:t>
            </w:r>
            <w:r>
              <w:rPr>
                <w:rFonts w:eastAsia="Calibri"/>
              </w:rPr>
              <w:t>.</w:t>
            </w:r>
          </w:p>
        </w:tc>
        <w:tc>
          <w:tcPr>
            <w:tcW w:w="2596" w:type="dxa"/>
            <w:shd w:val="clear" w:color="auto" w:fill="auto"/>
          </w:tcPr>
          <w:p w:rsidR="00175DEE" w:rsidRPr="007046BC" w:rsidRDefault="00175DEE" w:rsidP="002532F3">
            <w:pPr>
              <w:jc w:val="right"/>
              <w:rPr>
                <w:rFonts w:eastAsia="Calibri"/>
              </w:rPr>
            </w:pPr>
          </w:p>
        </w:tc>
        <w:tc>
          <w:tcPr>
            <w:tcW w:w="1323" w:type="dxa"/>
            <w:shd w:val="clear" w:color="auto" w:fill="auto"/>
          </w:tcPr>
          <w:p w:rsidR="00175DEE" w:rsidRPr="007046BC" w:rsidRDefault="00175DEE" w:rsidP="002532F3">
            <w:pPr>
              <w:jc w:val="right"/>
              <w:rPr>
                <w:rFonts w:eastAsia="Calibri"/>
              </w:rPr>
            </w:pPr>
          </w:p>
        </w:tc>
        <w:tc>
          <w:tcPr>
            <w:tcW w:w="1325" w:type="dxa"/>
            <w:shd w:val="clear" w:color="auto" w:fill="auto"/>
          </w:tcPr>
          <w:p w:rsidR="00175DEE" w:rsidRPr="007046BC" w:rsidRDefault="00175DEE" w:rsidP="002532F3">
            <w:pPr>
              <w:jc w:val="right"/>
              <w:rPr>
                <w:rFonts w:eastAsia="Calibri"/>
              </w:rPr>
            </w:pPr>
          </w:p>
        </w:tc>
        <w:tc>
          <w:tcPr>
            <w:tcW w:w="992" w:type="dxa"/>
            <w:shd w:val="clear" w:color="auto" w:fill="auto"/>
          </w:tcPr>
          <w:p w:rsidR="00175DEE" w:rsidRPr="007046BC" w:rsidRDefault="00175DEE" w:rsidP="002532F3">
            <w:pPr>
              <w:jc w:val="right"/>
              <w:rPr>
                <w:rFonts w:eastAsia="Calibri"/>
              </w:rPr>
            </w:pPr>
          </w:p>
        </w:tc>
        <w:tc>
          <w:tcPr>
            <w:tcW w:w="1418" w:type="dxa"/>
            <w:shd w:val="clear" w:color="auto" w:fill="auto"/>
          </w:tcPr>
          <w:p w:rsidR="00175DEE" w:rsidRPr="007046BC" w:rsidRDefault="00175DEE" w:rsidP="002532F3">
            <w:pPr>
              <w:jc w:val="right"/>
              <w:rPr>
                <w:rFonts w:eastAsia="Calibri"/>
              </w:rPr>
            </w:pPr>
          </w:p>
        </w:tc>
        <w:tc>
          <w:tcPr>
            <w:tcW w:w="1275" w:type="dxa"/>
            <w:shd w:val="clear" w:color="auto" w:fill="auto"/>
          </w:tcPr>
          <w:p w:rsidR="00175DEE" w:rsidRPr="007046BC" w:rsidRDefault="00175DEE" w:rsidP="002532F3">
            <w:pPr>
              <w:jc w:val="right"/>
              <w:rPr>
                <w:rFonts w:eastAsia="Calibri"/>
              </w:rPr>
            </w:pPr>
          </w:p>
        </w:tc>
      </w:tr>
    </w:tbl>
    <w:p w:rsidR="00175DEE" w:rsidRDefault="00175DEE" w:rsidP="00175DEE">
      <w:pPr>
        <w:ind w:left="142"/>
        <w:jc w:val="both"/>
      </w:pPr>
    </w:p>
    <w:p w:rsidR="00175DEE" w:rsidRPr="007046BC" w:rsidRDefault="00175DEE" w:rsidP="00175DEE">
      <w:pPr>
        <w:ind w:left="142"/>
        <w:jc w:val="both"/>
      </w:pPr>
      <w:r w:rsidRPr="007046BC">
        <w:t>*  Ja maksas pakalpojumam nepiemēro  pievienotās vērtības nodokli vai piemēro samazinātu nodokļa likmi, cenrādī piezīmju rindā pie attiecīgā maksas pakalpojuma izdara atbilstoši atsauci un norāda Pievienotās vērtības nodokļa likuma attiecīgo pantu un tā daļu.</w:t>
      </w:r>
    </w:p>
    <w:p w:rsidR="00175DEE" w:rsidRPr="007046BC" w:rsidRDefault="00175DEE" w:rsidP="00175DEE">
      <w:pPr>
        <w:jc w:val="right"/>
      </w:pPr>
    </w:p>
    <w:p w:rsidR="00175DEE" w:rsidRPr="007046BC" w:rsidRDefault="00175DEE" w:rsidP="00175DEE"/>
    <w:p w:rsidR="00175DEE" w:rsidRPr="007046BC" w:rsidRDefault="00175DEE" w:rsidP="00175DEE">
      <w:pPr>
        <w:ind w:firstLine="567"/>
        <w:jc w:val="center"/>
        <w:rPr>
          <w:rFonts w:ascii="Times-Bold" w:hAnsi="Times-Bold" w:cs="Times-Bold"/>
          <w:b/>
          <w:bCs/>
          <w:color w:val="000000"/>
        </w:rPr>
      </w:pPr>
    </w:p>
    <w:p w:rsidR="00175DEE" w:rsidRPr="00DA6D0C" w:rsidRDefault="00175DEE" w:rsidP="00DA6D0C">
      <w:pPr>
        <w:tabs>
          <w:tab w:val="left" w:pos="4678"/>
          <w:tab w:val="left" w:pos="8364"/>
        </w:tabs>
        <w:ind w:right="43"/>
        <w:contextualSpacing/>
        <w:rPr>
          <w:rFonts w:eastAsia="Calibri"/>
        </w:rPr>
      </w:pPr>
    </w:p>
    <w:sectPr w:rsidR="00175DEE" w:rsidRPr="00DA6D0C" w:rsidSect="00DC186D">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C2" w:rsidRDefault="001E40C2" w:rsidP="00467786">
      <w:r>
        <w:separator/>
      </w:r>
    </w:p>
  </w:endnote>
  <w:endnote w:type="continuationSeparator" w:id="0">
    <w:p w:rsidR="001E40C2" w:rsidRDefault="001E40C2" w:rsidP="004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C2" w:rsidRDefault="001E40C2" w:rsidP="00467786">
      <w:r>
        <w:separator/>
      </w:r>
    </w:p>
  </w:footnote>
  <w:footnote w:type="continuationSeparator" w:id="0">
    <w:p w:rsidR="001E40C2" w:rsidRDefault="001E40C2" w:rsidP="00467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669981"/>
      <w:docPartObj>
        <w:docPartGallery w:val="Page Numbers (Top of Page)"/>
        <w:docPartUnique/>
      </w:docPartObj>
    </w:sdtPr>
    <w:sdtEndPr/>
    <w:sdtContent>
      <w:p w:rsidR="00F66C0C" w:rsidRDefault="00F66C0C" w:rsidP="00937703">
        <w:pPr>
          <w:pStyle w:val="Galvene"/>
          <w:jc w:val="center"/>
        </w:pPr>
        <w:r>
          <w:fldChar w:fldCharType="begin"/>
        </w:r>
        <w:r>
          <w:instrText>PAGE   \* MERGEFORMAT</w:instrText>
        </w:r>
        <w:r>
          <w:fldChar w:fldCharType="separate"/>
        </w:r>
        <w:r w:rsidR="00DC186D">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86" w:rsidRPr="00937703" w:rsidRDefault="00467786" w:rsidP="00937703">
    <w:pPr>
      <w:pStyle w:val="Galvene"/>
      <w:tabs>
        <w:tab w:val="clear" w:pos="4153"/>
        <w:tab w:val="clear" w:pos="8306"/>
        <w:tab w:val="left" w:pos="5559"/>
      </w:tabs>
      <w:rPr>
        <w:sz w:val="2"/>
        <w:szCs w:val="2"/>
      </w:rPr>
    </w:pPr>
    <w:r w:rsidRPr="00937703">
      <w:rPr>
        <w:noProof/>
        <w:sz w:val="2"/>
        <w:szCs w:val="2"/>
      </w:rPr>
      <w:drawing>
        <wp:anchor distT="0" distB="0" distL="114300" distR="114300" simplePos="0" relativeHeight="251659264" behindDoc="1" locked="0" layoutInCell="1" allowOverlap="0" wp14:anchorId="47C380CF" wp14:editId="3231530D">
          <wp:simplePos x="0" y="0"/>
          <wp:positionH relativeFrom="column">
            <wp:posOffset>-1065475</wp:posOffset>
          </wp:positionH>
          <wp:positionV relativeFrom="paragraph">
            <wp:posOffset>-446212</wp:posOffset>
          </wp:positionV>
          <wp:extent cx="7546340" cy="2329180"/>
          <wp:effectExtent l="0" t="0" r="0" b="0"/>
          <wp:wrapTight wrapText="bothSides">
            <wp:wrapPolygon edited="0">
              <wp:start x="0" y="0"/>
              <wp:lineTo x="0" y="21376"/>
              <wp:lineTo x="21538" y="21376"/>
              <wp:lineTo x="21538"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7703" w:rsidRPr="00937703">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DEE" w:rsidRDefault="00175DE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 w15:restartNumberingAfterBreak="0">
    <w:nsid w:val="4EE61C90"/>
    <w:multiLevelType w:val="multilevel"/>
    <w:tmpl w:val="C9B49240"/>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736C436F"/>
    <w:multiLevelType w:val="multilevel"/>
    <w:tmpl w:val="5F16396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75F87A26"/>
    <w:multiLevelType w:val="multilevel"/>
    <w:tmpl w:val="6958EC2E"/>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86"/>
    <w:rsid w:val="0005180F"/>
    <w:rsid w:val="00115013"/>
    <w:rsid w:val="00175DEE"/>
    <w:rsid w:val="001E40C2"/>
    <w:rsid w:val="003A7E27"/>
    <w:rsid w:val="00467786"/>
    <w:rsid w:val="005D3189"/>
    <w:rsid w:val="00640AA5"/>
    <w:rsid w:val="007C673D"/>
    <w:rsid w:val="008E0E0A"/>
    <w:rsid w:val="00937703"/>
    <w:rsid w:val="00964C85"/>
    <w:rsid w:val="00DA6D0C"/>
    <w:rsid w:val="00DC186D"/>
    <w:rsid w:val="00EF1321"/>
    <w:rsid w:val="00F05B3D"/>
    <w:rsid w:val="00F66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4AA1-9A9F-4B98-A768-D304A9E3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7786"/>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786"/>
    <w:pPr>
      <w:ind w:left="720"/>
      <w:contextualSpacing/>
    </w:pPr>
  </w:style>
  <w:style w:type="paragraph" w:styleId="Galvene">
    <w:name w:val="header"/>
    <w:basedOn w:val="Parasts"/>
    <w:link w:val="GalveneRakstz"/>
    <w:uiPriority w:val="99"/>
    <w:unhideWhenUsed/>
    <w:rsid w:val="00467786"/>
    <w:pPr>
      <w:tabs>
        <w:tab w:val="center" w:pos="4153"/>
        <w:tab w:val="right" w:pos="8306"/>
      </w:tabs>
    </w:pPr>
  </w:style>
  <w:style w:type="character" w:customStyle="1" w:styleId="GalveneRakstz">
    <w:name w:val="Galvene Rakstz."/>
    <w:basedOn w:val="Noklusjumarindkopasfonts"/>
    <w:link w:val="Galvene"/>
    <w:uiPriority w:val="99"/>
    <w:rsid w:val="004677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67786"/>
    <w:pPr>
      <w:tabs>
        <w:tab w:val="center" w:pos="4153"/>
        <w:tab w:val="right" w:pos="8306"/>
      </w:tabs>
    </w:pPr>
  </w:style>
  <w:style w:type="character" w:customStyle="1" w:styleId="KjeneRakstz">
    <w:name w:val="Kājene Rakstz."/>
    <w:basedOn w:val="Noklusjumarindkopasfonts"/>
    <w:link w:val="Kjene"/>
    <w:uiPriority w:val="99"/>
    <w:rsid w:val="00467786"/>
    <w:rPr>
      <w:rFonts w:ascii="Times New Roman" w:eastAsia="Times New Roman" w:hAnsi="Times New Roman" w:cs="Times New Roman"/>
      <w:sz w:val="24"/>
      <w:szCs w:val="24"/>
      <w:lang w:eastAsia="lv-LV"/>
    </w:rPr>
  </w:style>
  <w:style w:type="character" w:customStyle="1" w:styleId="Bodytext4">
    <w:name w:val="Body text (4)_"/>
    <w:link w:val="Bodytext40"/>
    <w:rsid w:val="00DA6D0C"/>
    <w:rPr>
      <w:rFonts w:eastAsia="Times New Roman"/>
      <w:i/>
      <w:iCs/>
      <w:shd w:val="clear" w:color="auto" w:fill="FFFFFF"/>
    </w:rPr>
  </w:style>
  <w:style w:type="paragraph" w:customStyle="1" w:styleId="Bodytext40">
    <w:name w:val="Body text (4)"/>
    <w:basedOn w:val="Parasts"/>
    <w:link w:val="Bodytext4"/>
    <w:rsid w:val="00DA6D0C"/>
    <w:pPr>
      <w:widowControl w:val="0"/>
      <w:shd w:val="clear" w:color="auto" w:fill="FFFFFF"/>
      <w:spacing w:before="240" w:line="230" w:lineRule="exact"/>
      <w:jc w:val="both"/>
    </w:pPr>
    <w:rPr>
      <w:rFonts w:asciiTheme="minorHAnsi" w:hAnsiTheme="minorHAnsi" w:cstheme="minorBidi"/>
      <w:i/>
      <w:iCs/>
      <w:sz w:val="22"/>
      <w:szCs w:val="22"/>
      <w:lang w:eastAsia="en-US"/>
    </w:rPr>
  </w:style>
  <w:style w:type="character" w:customStyle="1" w:styleId="Bodytext2">
    <w:name w:val="Body text (2)_"/>
    <w:link w:val="Bodytext20"/>
    <w:rsid w:val="00DA6D0C"/>
    <w:rPr>
      <w:rFonts w:eastAsia="Times New Roman"/>
      <w:shd w:val="clear" w:color="auto" w:fill="FFFFFF"/>
    </w:rPr>
  </w:style>
  <w:style w:type="paragraph" w:customStyle="1" w:styleId="Bodytext20">
    <w:name w:val="Body text (2)"/>
    <w:basedOn w:val="Parasts"/>
    <w:link w:val="Bodytext2"/>
    <w:rsid w:val="00DA6D0C"/>
    <w:pPr>
      <w:widowControl w:val="0"/>
      <w:shd w:val="clear" w:color="auto" w:fill="FFFFFF"/>
      <w:spacing w:before="240" w:line="0" w:lineRule="atLeast"/>
      <w:ind w:hanging="460"/>
      <w:jc w:val="center"/>
    </w:pPr>
    <w:rPr>
      <w:rFonts w:asciiTheme="minorHAnsi" w:hAnsiTheme="minorHAnsi" w:cstheme="minorBidi"/>
      <w:sz w:val="22"/>
      <w:szCs w:val="22"/>
      <w:lang w:eastAsia="en-US"/>
    </w:rPr>
  </w:style>
  <w:style w:type="character" w:customStyle="1" w:styleId="Heading2">
    <w:name w:val="Heading #2_"/>
    <w:link w:val="Heading20"/>
    <w:rsid w:val="00DA6D0C"/>
    <w:rPr>
      <w:rFonts w:eastAsia="Times New Roman"/>
      <w:b/>
      <w:bCs/>
      <w:shd w:val="clear" w:color="auto" w:fill="FFFFFF"/>
    </w:rPr>
  </w:style>
  <w:style w:type="paragraph" w:customStyle="1" w:styleId="Heading20">
    <w:name w:val="Heading #2"/>
    <w:basedOn w:val="Parasts"/>
    <w:link w:val="Heading2"/>
    <w:rsid w:val="00DA6D0C"/>
    <w:pPr>
      <w:widowControl w:val="0"/>
      <w:shd w:val="clear" w:color="auto" w:fill="FFFFFF"/>
      <w:spacing w:before="240" w:line="0" w:lineRule="atLeast"/>
      <w:outlineLvl w:val="1"/>
    </w:pPr>
    <w:rPr>
      <w:rFonts w:asciiTheme="minorHAnsi" w:hAnsiTheme="minorHAnsi" w:cstheme="minorBidi"/>
      <w:b/>
      <w:bCs/>
      <w:sz w:val="22"/>
      <w:szCs w:val="22"/>
      <w:lang w:eastAsia="en-US"/>
    </w:rPr>
  </w:style>
  <w:style w:type="paragraph" w:styleId="Balonteksts">
    <w:name w:val="Balloon Text"/>
    <w:basedOn w:val="Parasts"/>
    <w:link w:val="BalontekstsRakstz"/>
    <w:uiPriority w:val="99"/>
    <w:semiHidden/>
    <w:unhideWhenUsed/>
    <w:rsid w:val="00175DE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5DEE"/>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5660</Words>
  <Characters>3227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5</cp:revision>
  <cp:lastPrinted>2016-06-30T10:27:00Z</cp:lastPrinted>
  <dcterms:created xsi:type="dcterms:W3CDTF">2016-06-30T09:24:00Z</dcterms:created>
  <dcterms:modified xsi:type="dcterms:W3CDTF">2016-06-30T10:30:00Z</dcterms:modified>
</cp:coreProperties>
</file>