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37" w:rsidRPr="00B01A37" w:rsidRDefault="00B01A37" w:rsidP="00B01A37">
      <w:pPr>
        <w:jc w:val="center"/>
        <w:rPr>
          <w:szCs w:val="24"/>
        </w:rPr>
      </w:pPr>
      <w:r w:rsidRPr="00B01A37">
        <w:rPr>
          <w:szCs w:val="24"/>
        </w:rPr>
        <w:t>Limbažos</w:t>
      </w:r>
    </w:p>
    <w:p w:rsidR="00B01A37" w:rsidRDefault="00B01A37" w:rsidP="00B01A37">
      <w:pPr>
        <w:jc w:val="center"/>
        <w:rPr>
          <w:b/>
          <w:szCs w:val="24"/>
        </w:rPr>
      </w:pPr>
    </w:p>
    <w:p w:rsidR="00B01A37" w:rsidRPr="00B01A37" w:rsidRDefault="00B01A37" w:rsidP="00B01A37">
      <w:pPr>
        <w:jc w:val="center"/>
        <w:rPr>
          <w:b/>
          <w:szCs w:val="24"/>
        </w:rPr>
      </w:pPr>
      <w:r w:rsidRPr="00B01A37">
        <w:rPr>
          <w:b/>
          <w:szCs w:val="24"/>
        </w:rPr>
        <w:t>PASKAIDROJUMA RAKSTS</w:t>
      </w:r>
    </w:p>
    <w:p w:rsidR="00B01A37" w:rsidRPr="00B01A37" w:rsidRDefault="00B01A37" w:rsidP="00B01A37">
      <w:pPr>
        <w:jc w:val="center"/>
        <w:rPr>
          <w:rFonts w:eastAsia="Times New Roman"/>
          <w:b/>
          <w:szCs w:val="24"/>
          <w:lang w:eastAsia="lv-LV"/>
        </w:rPr>
      </w:pPr>
      <w:r w:rsidRPr="00B01A37">
        <w:rPr>
          <w:rFonts w:eastAsia="Times New Roman"/>
          <w:b/>
          <w:szCs w:val="24"/>
          <w:lang w:eastAsia="lv-LV"/>
        </w:rPr>
        <w:t xml:space="preserve">Limbažu novada pašvaldības 2020. gada </w:t>
      </w:r>
      <w:r>
        <w:rPr>
          <w:rFonts w:eastAsia="Times New Roman"/>
          <w:b/>
          <w:szCs w:val="24"/>
          <w:lang w:eastAsia="lv-LV"/>
        </w:rPr>
        <w:t>27</w:t>
      </w:r>
      <w:r w:rsidRPr="00B01A37">
        <w:rPr>
          <w:rFonts w:eastAsia="Times New Roman"/>
          <w:b/>
          <w:szCs w:val="24"/>
          <w:lang w:eastAsia="lv-LV"/>
        </w:rPr>
        <w:t xml:space="preserve">. februāra saistošajiem noteikumiem Nr. </w:t>
      </w:r>
      <w:r w:rsidR="008A76D3">
        <w:rPr>
          <w:rFonts w:eastAsia="Times New Roman"/>
          <w:b/>
          <w:szCs w:val="24"/>
          <w:lang w:eastAsia="lv-LV"/>
        </w:rPr>
        <w:t>3</w:t>
      </w:r>
      <w:bookmarkStart w:id="0" w:name="_GoBack"/>
      <w:bookmarkEnd w:id="0"/>
    </w:p>
    <w:p w:rsidR="00B01A37" w:rsidRPr="00B01A37" w:rsidRDefault="00B01A37" w:rsidP="00B01A37">
      <w:pPr>
        <w:jc w:val="center"/>
        <w:rPr>
          <w:rFonts w:eastAsia="Times New Roman"/>
          <w:b/>
          <w:szCs w:val="24"/>
          <w:lang w:eastAsia="lv-LV"/>
        </w:rPr>
      </w:pPr>
      <w:r w:rsidRPr="00B01A37">
        <w:rPr>
          <w:rFonts w:eastAsia="Times New Roman"/>
          <w:b/>
          <w:szCs w:val="24"/>
          <w:lang w:eastAsia="lv-LV"/>
        </w:rPr>
        <w:t>“Par augstas detalizācijas topogrāfiskās informācijas aprites kārtību Limbažu novadā”</w:t>
      </w:r>
    </w:p>
    <w:p w:rsidR="00CD42D2" w:rsidRPr="00161F53" w:rsidRDefault="00CD42D2" w:rsidP="00CD42D2">
      <w:pPr>
        <w:jc w:val="center"/>
        <w:rPr>
          <w:b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1"/>
        <w:gridCol w:w="8071"/>
      </w:tblGrid>
      <w:tr w:rsidR="00CD42D2" w:rsidRPr="00161F53" w:rsidTr="00612D33">
        <w:trPr>
          <w:trHeight w:val="510"/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B01A37" w:rsidRDefault="00CD42D2" w:rsidP="00B01A37">
            <w:pPr>
              <w:jc w:val="center"/>
              <w:rPr>
                <w:b/>
                <w:szCs w:val="24"/>
              </w:rPr>
            </w:pPr>
            <w:r w:rsidRPr="00B01A37">
              <w:rPr>
                <w:b/>
                <w:szCs w:val="24"/>
              </w:rPr>
              <w:t>Paskaidrojuma raksta sadaļas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B01A37" w:rsidRDefault="00CD42D2" w:rsidP="00B01A37">
            <w:pPr>
              <w:spacing w:before="100" w:beforeAutospacing="1" w:after="100" w:afterAutospacing="1"/>
              <w:jc w:val="center"/>
              <w:rPr>
                <w:b/>
                <w:szCs w:val="24"/>
              </w:rPr>
            </w:pPr>
            <w:r w:rsidRPr="00B01A37">
              <w:rPr>
                <w:b/>
                <w:szCs w:val="24"/>
              </w:rPr>
              <w:t>Norādāmā informācija</w:t>
            </w:r>
          </w:p>
        </w:tc>
      </w:tr>
      <w:tr w:rsidR="00CD42D2" w:rsidRPr="003A012E" w:rsidTr="00612D33">
        <w:trPr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A012E" w:rsidRDefault="00CD42D2" w:rsidP="00612D33">
            <w:pPr>
              <w:rPr>
                <w:szCs w:val="24"/>
                <w:highlight w:val="yellow"/>
              </w:rPr>
            </w:pPr>
            <w:r w:rsidRPr="001B3289">
              <w:rPr>
                <w:szCs w:val="24"/>
              </w:rPr>
              <w:t>1. Projekta nepieciešamības pamatojums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936"/>
            </w:tblGrid>
            <w:tr w:rsidR="00CD42D2" w:rsidRPr="003A012E" w:rsidTr="00612D33">
              <w:trPr>
                <w:trHeight w:val="42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B682C" w:rsidRDefault="00CB682C" w:rsidP="00CB682C">
                  <w:pPr>
                    <w:ind w:firstLine="415"/>
                    <w:jc w:val="both"/>
                    <w:rPr>
                      <w:szCs w:val="24"/>
                    </w:rPr>
                  </w:pPr>
                  <w:r w:rsidRPr="000B7B42">
                    <w:rPr>
                      <w:szCs w:val="24"/>
                    </w:rPr>
                    <w:t>Saistošo noteikumu izdošana paredzēta likuma “Par pašvaldībām” 21.</w:t>
                  </w:r>
                  <w:r w:rsidR="00891B9F">
                    <w:rPr>
                      <w:szCs w:val="24"/>
                    </w:rPr>
                    <w:t xml:space="preserve"> </w:t>
                  </w:r>
                  <w:r w:rsidRPr="000B7B42">
                    <w:rPr>
                      <w:szCs w:val="24"/>
                    </w:rPr>
                    <w:t>panta pirmās daļas 16. un 27.</w:t>
                  </w:r>
                  <w:r w:rsidR="00891B9F">
                    <w:rPr>
                      <w:szCs w:val="24"/>
                    </w:rPr>
                    <w:t xml:space="preserve"> </w:t>
                  </w:r>
                  <w:r w:rsidRPr="000B7B42">
                    <w:rPr>
                      <w:szCs w:val="24"/>
                    </w:rPr>
                    <w:t>punktā, 43.</w:t>
                  </w:r>
                  <w:r w:rsidR="00891B9F">
                    <w:rPr>
                      <w:szCs w:val="24"/>
                    </w:rPr>
                    <w:t xml:space="preserve"> </w:t>
                  </w:r>
                  <w:r w:rsidRPr="000B7B42">
                    <w:rPr>
                      <w:szCs w:val="24"/>
                    </w:rPr>
                    <w:t>panta pirmās daļas 1.</w:t>
                  </w:r>
                  <w:r w:rsidR="00891B9F">
                    <w:rPr>
                      <w:szCs w:val="24"/>
                    </w:rPr>
                    <w:t xml:space="preserve"> un 13. </w:t>
                  </w:r>
                  <w:r w:rsidRPr="000B7B42">
                    <w:rPr>
                      <w:szCs w:val="24"/>
                    </w:rPr>
                    <w:t>punktā, Ģeotelpiskās informācijas likuma 13.</w:t>
                  </w:r>
                  <w:r w:rsidR="00891B9F">
                    <w:rPr>
                      <w:szCs w:val="24"/>
                    </w:rPr>
                    <w:t xml:space="preserve"> </w:t>
                  </w:r>
                  <w:r w:rsidRPr="000B7B42">
                    <w:rPr>
                      <w:szCs w:val="24"/>
                    </w:rPr>
                    <w:t>panta sestajā daļā, kas nosaka, ka pašvaldības dome nosaka augstas detalizācijas topogrāfiskās informācijas iesniegšanas un pieņemšanas kārtību</w:t>
                  </w:r>
                  <w:r>
                    <w:rPr>
                      <w:szCs w:val="24"/>
                    </w:rPr>
                    <w:t>.</w:t>
                  </w:r>
                </w:p>
                <w:p w:rsidR="005424E1" w:rsidRDefault="00891B9F" w:rsidP="005424E1">
                  <w:pPr>
                    <w:ind w:firstLine="415"/>
                    <w:jc w:val="both"/>
                    <w:rPr>
                      <w:szCs w:val="24"/>
                    </w:rPr>
                  </w:pPr>
                  <w:r w:rsidRPr="000B7B42">
                    <w:rPr>
                      <w:szCs w:val="24"/>
                    </w:rPr>
                    <w:t>Ģeo</w:t>
                  </w:r>
                  <w:r>
                    <w:rPr>
                      <w:szCs w:val="24"/>
                    </w:rPr>
                    <w:t>telpiskās informācijas likuma 26</w:t>
                  </w:r>
                  <w:r w:rsidRPr="000B7B42">
                    <w:rPr>
                      <w:szCs w:val="24"/>
                    </w:rPr>
                    <w:t>.</w:t>
                  </w:r>
                  <w:r>
                    <w:rPr>
                      <w:szCs w:val="24"/>
                    </w:rPr>
                    <w:t xml:space="preserve"> </w:t>
                  </w:r>
                  <w:r w:rsidRPr="000B7B42">
                    <w:rPr>
                      <w:szCs w:val="24"/>
                    </w:rPr>
                    <w:t xml:space="preserve">panta </w:t>
                  </w:r>
                  <w:r>
                    <w:rPr>
                      <w:szCs w:val="24"/>
                    </w:rPr>
                    <w:t>trešajā</w:t>
                  </w:r>
                  <w:r w:rsidRPr="000B7B42">
                    <w:rPr>
                      <w:szCs w:val="24"/>
                    </w:rPr>
                    <w:t xml:space="preserve"> daļā</w:t>
                  </w:r>
                  <w:r>
                    <w:rPr>
                      <w:szCs w:val="24"/>
                    </w:rPr>
                    <w:t xml:space="preserve"> noteikts, ka</w:t>
                  </w:r>
                  <w:r>
                    <w:t xml:space="preserve"> </w:t>
                  </w:r>
                  <w:r>
                    <w:rPr>
                      <w:szCs w:val="24"/>
                    </w:rPr>
                    <w:t>m</w:t>
                  </w:r>
                  <w:r w:rsidRPr="00891B9F">
                    <w:rPr>
                      <w:szCs w:val="24"/>
                    </w:rPr>
                    <w:t xml:space="preserve">aksa par augstas detalizācijas topogrāfiskās informācijas pārbaudi, reģistrāciju datubāzē, sagatavošanu un izsniegšanu no vietējās pašvaldības datubāzes </w:t>
                  </w:r>
                  <w:r>
                    <w:rPr>
                      <w:szCs w:val="24"/>
                    </w:rPr>
                    <w:t>veicama</w:t>
                  </w:r>
                  <w:r w:rsidRPr="00891B9F">
                    <w:rPr>
                      <w:szCs w:val="24"/>
                    </w:rPr>
                    <w:t xml:space="preserve"> vietējās pašvaldības saistošajos noteikumos paredzētajā kārtībā</w:t>
                  </w:r>
                  <w:r>
                    <w:rPr>
                      <w:szCs w:val="24"/>
                    </w:rPr>
                    <w:t>.</w:t>
                  </w:r>
                </w:p>
                <w:p w:rsidR="00FF77D2" w:rsidRDefault="007A5644" w:rsidP="00FF77D2">
                  <w:pPr>
                    <w:ind w:firstLine="415"/>
                    <w:jc w:val="both"/>
                  </w:pPr>
                  <w:r>
                    <w:t xml:space="preserve">Saskaņā ar Ministru kabineta </w:t>
                  </w:r>
                  <w:r w:rsidR="003F542F">
                    <w:t>2012.</w:t>
                  </w:r>
                  <w:r>
                    <w:t xml:space="preserve"> </w:t>
                  </w:r>
                  <w:r w:rsidR="003F542F">
                    <w:t>gada 24.</w:t>
                  </w:r>
                  <w:r>
                    <w:t xml:space="preserve"> aprīļa</w:t>
                  </w:r>
                  <w:r w:rsidR="003F542F">
                    <w:t xml:space="preserve"> </w:t>
                  </w:r>
                  <w:r>
                    <w:t>noteikumu Nr.281</w:t>
                  </w:r>
                  <w:r w:rsidR="003F542F">
                    <w:t xml:space="preserve"> ”Augstas detalizācijas un topogrāfiskās informācijas un tās centrālās datubāzes noteikumi”</w:t>
                  </w:r>
                  <w:r>
                    <w:t xml:space="preserve"> 69. punktu pašvaldība saistošajos noteikumos </w:t>
                  </w:r>
                  <w:r w:rsidR="00AC6B3C">
                    <w:t>nosaka</w:t>
                  </w:r>
                  <w:r>
                    <w:t xml:space="preserve"> tos</w:t>
                  </w:r>
                  <w:r w:rsidR="00AC6B3C">
                    <w:t xml:space="preserve"> inženierkomunikāciju turētājus, ar kuriem </w:t>
                  </w:r>
                  <w:r>
                    <w:t xml:space="preserve">obligāti nepieciešams </w:t>
                  </w:r>
                  <w:r w:rsidR="00AC6B3C">
                    <w:t>saskaņo</w:t>
                  </w:r>
                  <w:r>
                    <w:t>t topogrāfiskos plānus, kas izstrādāti attiecīgās pašvaldības teritorijā,</w:t>
                  </w:r>
                  <w:r w:rsidR="00AC6B3C">
                    <w:t xml:space="preserve"> un </w:t>
                  </w:r>
                  <w:r w:rsidR="007505D6">
                    <w:t>saskaņā ar minēto noteikumu 79. punktu</w:t>
                  </w:r>
                  <w:r w:rsidR="00AC6B3C">
                    <w:t xml:space="preserve"> nosaka </w:t>
                  </w:r>
                  <w:r w:rsidR="007505D6">
                    <w:t xml:space="preserve">topogrāfiskās informācijas </w:t>
                  </w:r>
                  <w:r w:rsidR="00AC6B3C">
                    <w:t>pārb</w:t>
                  </w:r>
                  <w:r w:rsidR="007505D6">
                    <w:t>audes un reģistrācijas termiņus</w:t>
                  </w:r>
                  <w:r w:rsidR="00AC6B3C">
                    <w:t>.</w:t>
                  </w:r>
                </w:p>
                <w:p w:rsidR="00CB682C" w:rsidRPr="00AC6B3C" w:rsidRDefault="00CB682C" w:rsidP="00FF77D2">
                  <w:pPr>
                    <w:ind w:firstLine="415"/>
                    <w:jc w:val="both"/>
                  </w:pPr>
                  <w:r w:rsidRPr="00497E22">
                    <w:t xml:space="preserve">Līdz </w:t>
                  </w:r>
                  <w:r w:rsidR="005424E1">
                    <w:t xml:space="preserve">minēto </w:t>
                  </w:r>
                  <w:r w:rsidRPr="00497E22">
                    <w:t>saistošo noteikumu apstiprināšanai augstas detalizācijas topogrāfiskās informācijas aprites kārtību Limbažu novadā nodrošināja SIA “TOPO</w:t>
                  </w:r>
                  <w:r w:rsidR="005424E1">
                    <w:t xml:space="preserve"> </w:t>
                  </w:r>
                  <w:r w:rsidRPr="00497E22">
                    <w:t>DATI”</w:t>
                  </w:r>
                  <w:r w:rsidR="005424E1">
                    <w:t xml:space="preserve">, </w:t>
                  </w:r>
                  <w:r w:rsidR="005424E1">
                    <w:rPr>
                      <w:szCs w:val="24"/>
                    </w:rPr>
                    <w:t xml:space="preserve">vienotais </w:t>
                  </w:r>
                  <w:r w:rsidR="005424E1" w:rsidRPr="00830303">
                    <w:rPr>
                      <w:szCs w:val="24"/>
                    </w:rPr>
                    <w:t xml:space="preserve">reģistrācijas </w:t>
                  </w:r>
                  <w:r w:rsidR="005424E1">
                    <w:t xml:space="preserve">   </w:t>
                  </w:r>
                  <w:r w:rsidR="005424E1" w:rsidRPr="00830303">
                    <w:rPr>
                      <w:szCs w:val="24"/>
                    </w:rPr>
                    <w:t>Nr.</w:t>
                  </w:r>
                  <w:r w:rsidR="005424E1">
                    <w:rPr>
                      <w:szCs w:val="24"/>
                    </w:rPr>
                    <w:t xml:space="preserve"> 4</w:t>
                  </w:r>
                  <w:r w:rsidR="005424E1" w:rsidRPr="00830303">
                    <w:rPr>
                      <w:szCs w:val="24"/>
                    </w:rPr>
                    <w:t>0003621917</w:t>
                  </w:r>
                  <w:r>
                    <w:t>.</w:t>
                  </w:r>
                </w:p>
              </w:tc>
            </w:tr>
          </w:tbl>
          <w:p w:rsidR="00CD42D2" w:rsidRPr="003A012E" w:rsidRDefault="00CD42D2" w:rsidP="00612D33">
            <w:pPr>
              <w:jc w:val="both"/>
              <w:rPr>
                <w:szCs w:val="24"/>
                <w:highlight w:val="yellow"/>
              </w:rPr>
            </w:pPr>
          </w:p>
        </w:tc>
      </w:tr>
      <w:tr w:rsidR="00CD42D2" w:rsidRPr="003A012E" w:rsidTr="00612D33">
        <w:trPr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A012E" w:rsidRDefault="00CD42D2" w:rsidP="00612D33">
            <w:pPr>
              <w:rPr>
                <w:szCs w:val="24"/>
                <w:highlight w:val="yellow"/>
              </w:rPr>
            </w:pPr>
            <w:r w:rsidRPr="001B3289">
              <w:rPr>
                <w:szCs w:val="24"/>
              </w:rPr>
              <w:t>2. Īss projekta satura izklāsts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6414" w:rsidRDefault="00830303" w:rsidP="00474954">
            <w:pPr>
              <w:ind w:firstLine="415"/>
              <w:jc w:val="both"/>
              <w:rPr>
                <w:szCs w:val="24"/>
              </w:rPr>
            </w:pPr>
            <w:r w:rsidRPr="000B7B42">
              <w:rPr>
                <w:szCs w:val="24"/>
              </w:rPr>
              <w:t>Saistošie noteikumi nosaka kārtību, kādā Limbažu novada administratīvajā teritorijā notiek augstas detalizācijas</w:t>
            </w:r>
            <w:r w:rsidR="000B7B42" w:rsidRPr="000B7B42">
              <w:rPr>
                <w:szCs w:val="24"/>
              </w:rPr>
              <w:t xml:space="preserve"> topogrāfiskās </w:t>
            </w:r>
            <w:r w:rsidR="000B7B42" w:rsidRPr="00A01BD3">
              <w:rPr>
                <w:szCs w:val="24"/>
              </w:rPr>
              <w:t xml:space="preserve">informācijas </w:t>
            </w:r>
            <w:r w:rsidR="00474954">
              <w:rPr>
                <w:szCs w:val="24"/>
              </w:rPr>
              <w:t>pārbaude, reģistrācija datubāzē, sagatavošana un izsniegšana,</w:t>
            </w:r>
            <w:r w:rsidR="000B7B42" w:rsidRPr="000B7B42">
              <w:rPr>
                <w:szCs w:val="24"/>
              </w:rPr>
              <w:t xml:space="preserve"> kā arī attiecas uz detālplānojumu un zemes ierīcības projektu grafiskajām daļām.</w:t>
            </w:r>
            <w:r w:rsidR="000B7B42">
              <w:rPr>
                <w:szCs w:val="24"/>
              </w:rPr>
              <w:t xml:space="preserve"> </w:t>
            </w:r>
          </w:p>
          <w:p w:rsidR="00161F53" w:rsidRDefault="000B7B42" w:rsidP="00474954">
            <w:pPr>
              <w:ind w:firstLine="415"/>
              <w:jc w:val="both"/>
              <w:rPr>
                <w:szCs w:val="24"/>
              </w:rPr>
            </w:pPr>
            <w:r>
              <w:rPr>
                <w:szCs w:val="24"/>
              </w:rPr>
              <w:t>Saistošie noteikumi nos</w:t>
            </w:r>
            <w:r w:rsidR="00FF77D2">
              <w:rPr>
                <w:szCs w:val="24"/>
              </w:rPr>
              <w:t>aka maksas apmērus pret trešajām personām</w:t>
            </w:r>
            <w:r>
              <w:rPr>
                <w:szCs w:val="24"/>
              </w:rPr>
              <w:t xml:space="preserve"> par datu, kuri satur augstas detalizācijas topogrāfisko informāciju, pārbaudi, reģistrāciju Limbažu novada pašvaldības datubāzē, sagatavošanu un izsniegšanu no pašvaldības datubāzes, kuru izveido un uztur pašvaldības izvēlētā juridiskā persona.</w:t>
            </w:r>
          </w:p>
          <w:p w:rsidR="00666414" w:rsidRPr="000B7B42" w:rsidRDefault="00666414" w:rsidP="00666414">
            <w:pPr>
              <w:ind w:firstLine="415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Saistošie noteikumi nosaka inženierkomunikāciju turētājus, ar kuriem </w:t>
            </w:r>
            <w:r>
              <w:rPr>
                <w:szCs w:val="24"/>
              </w:rPr>
              <w:lastRenderedPageBreak/>
              <w:t>jāsaskaņo topogrāfiskie plāni.</w:t>
            </w:r>
          </w:p>
        </w:tc>
      </w:tr>
      <w:tr w:rsidR="00CD42D2" w:rsidRPr="003A012E" w:rsidTr="00612D33">
        <w:trPr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76A5D" w:rsidRDefault="00CD42D2" w:rsidP="00612D33">
            <w:pPr>
              <w:rPr>
                <w:szCs w:val="24"/>
              </w:rPr>
            </w:pPr>
            <w:r w:rsidRPr="00376A5D">
              <w:rPr>
                <w:szCs w:val="24"/>
              </w:rPr>
              <w:lastRenderedPageBreak/>
              <w:t>3. Informācija par plānoto projekta ietekmi uz pašvaldības budžetu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Default="00CD42D2" w:rsidP="00612D33">
            <w:pPr>
              <w:jc w:val="both"/>
              <w:rPr>
                <w:szCs w:val="24"/>
              </w:rPr>
            </w:pPr>
            <w:r w:rsidRPr="00376A5D">
              <w:rPr>
                <w:szCs w:val="24"/>
              </w:rPr>
              <w:t xml:space="preserve">Nav </w:t>
            </w:r>
            <w:r w:rsidR="00FF77D2">
              <w:rPr>
                <w:szCs w:val="24"/>
              </w:rPr>
              <w:t>attiecināms</w:t>
            </w:r>
            <w:r w:rsidRPr="00376A5D">
              <w:rPr>
                <w:szCs w:val="24"/>
              </w:rPr>
              <w:t>.</w:t>
            </w:r>
          </w:p>
          <w:p w:rsidR="00FA1552" w:rsidRPr="00376A5D" w:rsidRDefault="00FA1552" w:rsidP="00612D3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Saistošo noteikumu izpildei nav nepieciešams veidot jaunas institūcijas vai darba vietas.</w:t>
            </w:r>
          </w:p>
        </w:tc>
      </w:tr>
      <w:tr w:rsidR="00CD42D2" w:rsidRPr="003A012E" w:rsidTr="00612D33">
        <w:trPr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A012E" w:rsidRDefault="00CD42D2" w:rsidP="00612D33">
            <w:pPr>
              <w:rPr>
                <w:szCs w:val="24"/>
                <w:highlight w:val="yellow"/>
              </w:rPr>
            </w:pPr>
            <w:r w:rsidRPr="00180EB6">
              <w:rPr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Default="00830303" w:rsidP="00FF77D2">
            <w:pPr>
              <w:ind w:firstLine="274"/>
              <w:jc w:val="both"/>
            </w:pPr>
            <w:r w:rsidRPr="00830303">
              <w:rPr>
                <w:szCs w:val="24"/>
              </w:rPr>
              <w:t>Galv</w:t>
            </w:r>
            <w:r w:rsidR="00FA1552">
              <w:rPr>
                <w:szCs w:val="24"/>
              </w:rPr>
              <w:t>e</w:t>
            </w:r>
            <w:r w:rsidRPr="00830303">
              <w:rPr>
                <w:szCs w:val="24"/>
              </w:rPr>
              <w:t xml:space="preserve">nās </w:t>
            </w:r>
            <w:proofErr w:type="spellStart"/>
            <w:r w:rsidRPr="00830303">
              <w:rPr>
                <w:szCs w:val="24"/>
              </w:rPr>
              <w:t>mērķgrupas</w:t>
            </w:r>
            <w:proofErr w:type="spellEnd"/>
            <w:r w:rsidRPr="00830303">
              <w:rPr>
                <w:szCs w:val="24"/>
              </w:rPr>
              <w:t xml:space="preserve">, uz kurām attiecināms saistošo noteikumu tiesiskais regulējums, ir visas fiziskās un juridiskās personas, kas Limbažu novada administratīvajā teritorijā veic topogrāfiskos un ģeodēziskos uzmērīšanas darbus, izstrādā detālplānojumus, zemes ierīcības projektus un veic </w:t>
            </w:r>
            <w:r w:rsidRPr="00830303">
              <w:t>inženierkomunikāciju, būvju un ceļu inženierbūvju projektēšanu un būvniecību.</w:t>
            </w:r>
          </w:p>
          <w:p w:rsidR="00CD42D2" w:rsidRPr="003A012E" w:rsidRDefault="00FA1552" w:rsidP="00B01A37">
            <w:pPr>
              <w:ind w:firstLine="274"/>
              <w:jc w:val="both"/>
              <w:rPr>
                <w:szCs w:val="24"/>
                <w:highlight w:val="yellow"/>
              </w:rPr>
            </w:pPr>
            <w:r>
              <w:t>Saistošo noteikumu tiesiskais regulējums</w:t>
            </w:r>
            <w:r w:rsidR="00EA37B6">
              <w:t xml:space="preserve"> būtiski galvenās </w:t>
            </w:r>
            <w:proofErr w:type="spellStart"/>
            <w:r w:rsidR="00EA37B6">
              <w:t>mērķgrupas</w:t>
            </w:r>
            <w:proofErr w:type="spellEnd"/>
            <w:r w:rsidR="00EA37B6">
              <w:t xml:space="preserve"> neietekmēs, </w:t>
            </w:r>
            <w:r w:rsidR="00EA37B6" w:rsidRPr="00380DB5">
              <w:t>jo līdz šo saistošo noteikumu pieņemšanai noteikumos minētos jautājumus risināja SIA “TOPO</w:t>
            </w:r>
            <w:r w:rsidR="00FF77D2">
              <w:t xml:space="preserve"> </w:t>
            </w:r>
            <w:r w:rsidR="00EA37B6" w:rsidRPr="00380DB5">
              <w:t>DATI”</w:t>
            </w:r>
            <w:r w:rsidR="00FF77D2">
              <w:t>.</w:t>
            </w:r>
          </w:p>
        </w:tc>
      </w:tr>
      <w:tr w:rsidR="00CD42D2" w:rsidRPr="003A012E" w:rsidTr="00612D33">
        <w:trPr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A012E" w:rsidRDefault="00CD42D2" w:rsidP="00612D33">
            <w:pPr>
              <w:rPr>
                <w:szCs w:val="24"/>
                <w:highlight w:val="yellow"/>
              </w:rPr>
            </w:pPr>
            <w:r w:rsidRPr="00830303">
              <w:rPr>
                <w:szCs w:val="24"/>
              </w:rPr>
              <w:t>5. Informācija par administratīvajām procedūrām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Default="00376A5D" w:rsidP="00FF77D2">
            <w:pPr>
              <w:ind w:firstLine="274"/>
              <w:jc w:val="both"/>
              <w:rPr>
                <w:szCs w:val="24"/>
              </w:rPr>
            </w:pPr>
            <w:r w:rsidRPr="00830303">
              <w:rPr>
                <w:szCs w:val="24"/>
              </w:rPr>
              <w:t>Institūcija, kurā privātpersona var griezties par saistošajos noteikumos minēto pakalpojumu saņemšanu</w:t>
            </w:r>
            <w:r w:rsidR="00FF77D2">
              <w:rPr>
                <w:szCs w:val="24"/>
              </w:rPr>
              <w:t>,</w:t>
            </w:r>
            <w:r w:rsidRPr="00830303">
              <w:rPr>
                <w:szCs w:val="24"/>
              </w:rPr>
              <w:t xml:space="preserve"> ir SIA “TOPO</w:t>
            </w:r>
            <w:r w:rsidR="005424E1">
              <w:rPr>
                <w:szCs w:val="24"/>
              </w:rPr>
              <w:t xml:space="preserve"> </w:t>
            </w:r>
            <w:r w:rsidRPr="00830303">
              <w:rPr>
                <w:szCs w:val="24"/>
              </w:rPr>
              <w:t xml:space="preserve">DATI”, </w:t>
            </w:r>
            <w:r w:rsidR="005424E1">
              <w:rPr>
                <w:szCs w:val="24"/>
              </w:rPr>
              <w:t xml:space="preserve">vienotais </w:t>
            </w:r>
            <w:r w:rsidRPr="00830303">
              <w:rPr>
                <w:szCs w:val="24"/>
              </w:rPr>
              <w:t>reģistrācijas Nr.</w:t>
            </w:r>
            <w:r w:rsidR="005424E1">
              <w:rPr>
                <w:szCs w:val="24"/>
              </w:rPr>
              <w:t xml:space="preserve"> 4</w:t>
            </w:r>
            <w:r w:rsidRPr="00830303">
              <w:rPr>
                <w:szCs w:val="24"/>
              </w:rPr>
              <w:t>0003621917, juridiskā adrese</w:t>
            </w:r>
            <w:r w:rsidR="00FF77D2">
              <w:rPr>
                <w:szCs w:val="24"/>
              </w:rPr>
              <w:t>:</w:t>
            </w:r>
            <w:r w:rsidRPr="00830303">
              <w:rPr>
                <w:szCs w:val="24"/>
              </w:rPr>
              <w:t xml:space="preserve"> Ģertrūdes</w:t>
            </w:r>
            <w:r w:rsidR="005424E1">
              <w:rPr>
                <w:szCs w:val="24"/>
              </w:rPr>
              <w:t xml:space="preserve"> iela</w:t>
            </w:r>
            <w:r w:rsidRPr="00830303">
              <w:rPr>
                <w:szCs w:val="24"/>
              </w:rPr>
              <w:t xml:space="preserve"> 47</w:t>
            </w:r>
            <w:r w:rsidR="005424E1">
              <w:rPr>
                <w:szCs w:val="24"/>
              </w:rPr>
              <w:t xml:space="preserve"> – </w:t>
            </w:r>
            <w:r w:rsidRPr="00830303">
              <w:rPr>
                <w:szCs w:val="24"/>
              </w:rPr>
              <w:t>3, Rīga, LV-1011</w:t>
            </w:r>
            <w:r w:rsidR="00FF77D2">
              <w:rPr>
                <w:szCs w:val="24"/>
              </w:rPr>
              <w:t>.</w:t>
            </w:r>
          </w:p>
          <w:p w:rsidR="00376A5D" w:rsidRPr="00FF77D2" w:rsidRDefault="00FF77D2" w:rsidP="00FF77D2">
            <w:pPr>
              <w:ind w:firstLine="274"/>
              <w:jc w:val="both"/>
              <w:rPr>
                <w:szCs w:val="24"/>
              </w:rPr>
            </w:pPr>
            <w:r>
              <w:rPr>
                <w:szCs w:val="24"/>
              </w:rPr>
              <w:t>Kontroli par saistošo noteikumu izpildi veic Limbažu novada pašvaldība.</w:t>
            </w:r>
          </w:p>
        </w:tc>
      </w:tr>
      <w:tr w:rsidR="00CD42D2" w:rsidRPr="00376A5D" w:rsidTr="00612D33">
        <w:trPr>
          <w:trHeight w:val="810"/>
          <w:tblCellSpacing w:w="15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76A5D" w:rsidRDefault="00CD42D2" w:rsidP="00612D33">
            <w:pPr>
              <w:rPr>
                <w:szCs w:val="24"/>
              </w:rPr>
            </w:pPr>
            <w:r w:rsidRPr="00376A5D">
              <w:rPr>
                <w:szCs w:val="24"/>
              </w:rPr>
              <w:t>6. Informācija par konsultācijām ar privātpersonām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42D2" w:rsidRPr="00376A5D" w:rsidRDefault="00376A5D" w:rsidP="00612D33">
            <w:pPr>
              <w:jc w:val="both"/>
              <w:rPr>
                <w:szCs w:val="24"/>
              </w:rPr>
            </w:pPr>
            <w:r w:rsidRPr="00376A5D">
              <w:rPr>
                <w:szCs w:val="24"/>
              </w:rPr>
              <w:t>Nav attiecināms</w:t>
            </w:r>
            <w:r w:rsidR="00FF77D2">
              <w:rPr>
                <w:szCs w:val="24"/>
              </w:rPr>
              <w:t>.</w:t>
            </w:r>
          </w:p>
        </w:tc>
      </w:tr>
    </w:tbl>
    <w:p w:rsidR="00CD42D2" w:rsidRDefault="00CD42D2" w:rsidP="00CD42D2">
      <w:pPr>
        <w:ind w:firstLine="180"/>
        <w:jc w:val="center"/>
        <w:rPr>
          <w:b/>
          <w:bCs/>
          <w:caps/>
          <w:szCs w:val="24"/>
        </w:rPr>
      </w:pPr>
    </w:p>
    <w:p w:rsidR="00B01A37" w:rsidRPr="00376A5D" w:rsidRDefault="00B01A37" w:rsidP="00CD42D2">
      <w:pPr>
        <w:ind w:firstLine="180"/>
        <w:jc w:val="center"/>
        <w:rPr>
          <w:b/>
          <w:bCs/>
          <w:caps/>
          <w:szCs w:val="24"/>
        </w:rPr>
      </w:pPr>
    </w:p>
    <w:p w:rsidR="00B01A37" w:rsidRPr="00B01A37" w:rsidRDefault="00B01A37" w:rsidP="00B01A37">
      <w:pPr>
        <w:jc w:val="both"/>
        <w:rPr>
          <w:szCs w:val="24"/>
        </w:rPr>
      </w:pPr>
      <w:r w:rsidRPr="00B01A37">
        <w:rPr>
          <w:szCs w:val="24"/>
        </w:rPr>
        <w:t>Limbažu novada pašvaldības</w:t>
      </w:r>
    </w:p>
    <w:p w:rsidR="00CD42D2" w:rsidRPr="00367FB2" w:rsidRDefault="00B01A37" w:rsidP="00B01A37">
      <w:pPr>
        <w:jc w:val="both"/>
      </w:pPr>
      <w:r w:rsidRPr="00B01A37">
        <w:rPr>
          <w:szCs w:val="24"/>
        </w:rPr>
        <w:t>Domes priekšsēdētājs</w:t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</w:r>
      <w:r w:rsidRPr="00B01A37">
        <w:rPr>
          <w:szCs w:val="24"/>
        </w:rPr>
        <w:tab/>
        <w:t>D. Zemmers</w:t>
      </w:r>
    </w:p>
    <w:sectPr w:rsidR="00CD42D2" w:rsidRPr="00367FB2" w:rsidSect="00CA55FE">
      <w:headerReference w:type="default" r:id="rId7"/>
      <w:headerReference w:type="firs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56B" w:rsidRDefault="0087456B" w:rsidP="00A11554">
      <w:r>
        <w:separator/>
      </w:r>
    </w:p>
  </w:endnote>
  <w:endnote w:type="continuationSeparator" w:id="0">
    <w:p w:rsidR="0087456B" w:rsidRDefault="0087456B" w:rsidP="00A1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56B" w:rsidRDefault="0087456B" w:rsidP="00A11554">
      <w:r>
        <w:separator/>
      </w:r>
    </w:p>
  </w:footnote>
  <w:footnote w:type="continuationSeparator" w:id="0">
    <w:p w:rsidR="0087456B" w:rsidRDefault="0087456B" w:rsidP="00A1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54" w:rsidRDefault="00A11554">
    <w:pPr>
      <w:pStyle w:val="Galvene"/>
      <w:jc w:val="center"/>
    </w:pPr>
    <w:r>
      <w:fldChar w:fldCharType="begin"/>
    </w:r>
    <w:r>
      <w:instrText>PAGE   \* MERGEFORMAT</w:instrText>
    </w:r>
    <w:r>
      <w:fldChar w:fldCharType="separate"/>
    </w:r>
    <w:r w:rsidR="00CA55FE">
      <w:rPr>
        <w:noProof/>
      </w:rPr>
      <w:t>2</w:t>
    </w:r>
    <w:r>
      <w:fldChar w:fldCharType="end"/>
    </w:r>
  </w:p>
  <w:p w:rsidR="00A11554" w:rsidRDefault="00A1155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37" w:rsidRDefault="00B01A37">
    <w:pPr>
      <w:pStyle w:val="Galvene"/>
    </w:pPr>
    <w:r w:rsidRPr="00B01A37">
      <w:rPr>
        <w:rFonts w:eastAsia="Times New Roman"/>
        <w:noProof/>
        <w:sz w:val="2"/>
        <w:szCs w:val="2"/>
        <w:lang w:eastAsia="lv-LV"/>
      </w:rPr>
      <w:drawing>
        <wp:anchor distT="0" distB="0" distL="114300" distR="114300" simplePos="0" relativeHeight="251658240" behindDoc="1" locked="0" layoutInCell="1" allowOverlap="0" wp14:anchorId="37C1AE81" wp14:editId="1C504EA3">
          <wp:simplePos x="0" y="0"/>
          <wp:positionH relativeFrom="page">
            <wp:posOffset>103505</wp:posOffset>
          </wp:positionH>
          <wp:positionV relativeFrom="paragraph">
            <wp:posOffset>-448310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D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C16813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A7B28"/>
    <w:multiLevelType w:val="multilevel"/>
    <w:tmpl w:val="FC38BE2A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36F5C0E"/>
    <w:multiLevelType w:val="multilevel"/>
    <w:tmpl w:val="7E5C33E4"/>
    <w:lvl w:ilvl="0">
      <w:start w:val="3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4" w15:restartNumberingAfterBreak="0">
    <w:nsid w:val="3D8C7346"/>
    <w:multiLevelType w:val="hybridMultilevel"/>
    <w:tmpl w:val="36DAC81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559F0"/>
    <w:multiLevelType w:val="multilevel"/>
    <w:tmpl w:val="49B044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21C6163"/>
    <w:multiLevelType w:val="multilevel"/>
    <w:tmpl w:val="D35287D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22425A1"/>
    <w:multiLevelType w:val="hybridMultilevel"/>
    <w:tmpl w:val="47FCF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B1FE8"/>
    <w:multiLevelType w:val="hybridMultilevel"/>
    <w:tmpl w:val="587C23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467BB"/>
    <w:multiLevelType w:val="hybridMultilevel"/>
    <w:tmpl w:val="AF4A2E92"/>
    <w:lvl w:ilvl="0" w:tplc="9E9648F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F6B88"/>
    <w:multiLevelType w:val="hybridMultilevel"/>
    <w:tmpl w:val="5016F29C"/>
    <w:lvl w:ilvl="0" w:tplc="042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2E38F7"/>
    <w:multiLevelType w:val="multilevel"/>
    <w:tmpl w:val="47FCFEA6"/>
    <w:styleLink w:val="Style1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23040"/>
    <w:multiLevelType w:val="multilevel"/>
    <w:tmpl w:val="BB8EAE64"/>
    <w:lvl w:ilvl="0">
      <w:start w:val="12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1"/>
  </w:num>
  <w:num w:numId="5">
    <w:abstractNumId w:val="3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4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A"/>
    <w:rsid w:val="00006C13"/>
    <w:rsid w:val="00007CBA"/>
    <w:rsid w:val="00025603"/>
    <w:rsid w:val="00031C9F"/>
    <w:rsid w:val="00036E50"/>
    <w:rsid w:val="000677FA"/>
    <w:rsid w:val="000747B9"/>
    <w:rsid w:val="000847FA"/>
    <w:rsid w:val="00086555"/>
    <w:rsid w:val="00091C14"/>
    <w:rsid w:val="000B1708"/>
    <w:rsid w:val="000B421B"/>
    <w:rsid w:val="000B7B42"/>
    <w:rsid w:val="000F756B"/>
    <w:rsid w:val="001005B4"/>
    <w:rsid w:val="001167CF"/>
    <w:rsid w:val="00126BD2"/>
    <w:rsid w:val="0014401F"/>
    <w:rsid w:val="001614CF"/>
    <w:rsid w:val="00161F53"/>
    <w:rsid w:val="00180EB6"/>
    <w:rsid w:val="0018208D"/>
    <w:rsid w:val="001844C4"/>
    <w:rsid w:val="00184995"/>
    <w:rsid w:val="001902F0"/>
    <w:rsid w:val="001958CB"/>
    <w:rsid w:val="001B3289"/>
    <w:rsid w:val="001B6785"/>
    <w:rsid w:val="001B6DD6"/>
    <w:rsid w:val="001C2376"/>
    <w:rsid w:val="001E4854"/>
    <w:rsid w:val="001E6A96"/>
    <w:rsid w:val="001F74FD"/>
    <w:rsid w:val="00217262"/>
    <w:rsid w:val="00223A97"/>
    <w:rsid w:val="00230342"/>
    <w:rsid w:val="00241417"/>
    <w:rsid w:val="00246D42"/>
    <w:rsid w:val="0025176F"/>
    <w:rsid w:val="00252EA4"/>
    <w:rsid w:val="00254109"/>
    <w:rsid w:val="002622AF"/>
    <w:rsid w:val="0026272B"/>
    <w:rsid w:val="0027132E"/>
    <w:rsid w:val="00281210"/>
    <w:rsid w:val="002833CD"/>
    <w:rsid w:val="002A3952"/>
    <w:rsid w:val="002C673E"/>
    <w:rsid w:val="002C7CEF"/>
    <w:rsid w:val="002D27BA"/>
    <w:rsid w:val="002D45CD"/>
    <w:rsid w:val="002E218E"/>
    <w:rsid w:val="002F7AF3"/>
    <w:rsid w:val="00304694"/>
    <w:rsid w:val="00321A48"/>
    <w:rsid w:val="00322FBD"/>
    <w:rsid w:val="00334078"/>
    <w:rsid w:val="00334490"/>
    <w:rsid w:val="00362423"/>
    <w:rsid w:val="0036296A"/>
    <w:rsid w:val="00370D66"/>
    <w:rsid w:val="00374F0C"/>
    <w:rsid w:val="00376A5D"/>
    <w:rsid w:val="00380DB5"/>
    <w:rsid w:val="0038505E"/>
    <w:rsid w:val="00386619"/>
    <w:rsid w:val="003A012E"/>
    <w:rsid w:val="003A18D9"/>
    <w:rsid w:val="003B5139"/>
    <w:rsid w:val="003B5A11"/>
    <w:rsid w:val="003C11DC"/>
    <w:rsid w:val="003C62F6"/>
    <w:rsid w:val="003D3D25"/>
    <w:rsid w:val="003D403C"/>
    <w:rsid w:val="003E0527"/>
    <w:rsid w:val="003F3922"/>
    <w:rsid w:val="003F542F"/>
    <w:rsid w:val="00401BA8"/>
    <w:rsid w:val="004541E8"/>
    <w:rsid w:val="0045606B"/>
    <w:rsid w:val="00467A5E"/>
    <w:rsid w:val="00474954"/>
    <w:rsid w:val="00477BB1"/>
    <w:rsid w:val="00480AAD"/>
    <w:rsid w:val="00485BFB"/>
    <w:rsid w:val="00486CA0"/>
    <w:rsid w:val="00494668"/>
    <w:rsid w:val="00497E22"/>
    <w:rsid w:val="004A4B87"/>
    <w:rsid w:val="004B3E37"/>
    <w:rsid w:val="004E1194"/>
    <w:rsid w:val="004E2144"/>
    <w:rsid w:val="00501C4B"/>
    <w:rsid w:val="005316B8"/>
    <w:rsid w:val="005424E1"/>
    <w:rsid w:val="00561A3C"/>
    <w:rsid w:val="00570A1D"/>
    <w:rsid w:val="005778BC"/>
    <w:rsid w:val="005D4340"/>
    <w:rsid w:val="005E1AF2"/>
    <w:rsid w:val="005E1E56"/>
    <w:rsid w:val="005E3737"/>
    <w:rsid w:val="0060756A"/>
    <w:rsid w:val="006127AC"/>
    <w:rsid w:val="00612D33"/>
    <w:rsid w:val="00664821"/>
    <w:rsid w:val="00666414"/>
    <w:rsid w:val="0067742D"/>
    <w:rsid w:val="006B2263"/>
    <w:rsid w:val="006C0770"/>
    <w:rsid w:val="006D0E73"/>
    <w:rsid w:val="006D7E6B"/>
    <w:rsid w:val="00717082"/>
    <w:rsid w:val="007379C1"/>
    <w:rsid w:val="007505D6"/>
    <w:rsid w:val="00774674"/>
    <w:rsid w:val="00774A97"/>
    <w:rsid w:val="007905AD"/>
    <w:rsid w:val="007930A3"/>
    <w:rsid w:val="007A5644"/>
    <w:rsid w:val="007C7B7B"/>
    <w:rsid w:val="007D0943"/>
    <w:rsid w:val="007D0F72"/>
    <w:rsid w:val="007E4FD5"/>
    <w:rsid w:val="007F7C60"/>
    <w:rsid w:val="008069A4"/>
    <w:rsid w:val="00820C5D"/>
    <w:rsid w:val="00821444"/>
    <w:rsid w:val="00830303"/>
    <w:rsid w:val="00843DF2"/>
    <w:rsid w:val="008508D7"/>
    <w:rsid w:val="00850BFE"/>
    <w:rsid w:val="00857B68"/>
    <w:rsid w:val="008634AF"/>
    <w:rsid w:val="00863633"/>
    <w:rsid w:val="00871AF1"/>
    <w:rsid w:val="0087456B"/>
    <w:rsid w:val="008773BA"/>
    <w:rsid w:val="00891B9F"/>
    <w:rsid w:val="008A76D3"/>
    <w:rsid w:val="008B0A9E"/>
    <w:rsid w:val="008F306F"/>
    <w:rsid w:val="009143FD"/>
    <w:rsid w:val="009373F3"/>
    <w:rsid w:val="00967535"/>
    <w:rsid w:val="00971EBF"/>
    <w:rsid w:val="00972CE0"/>
    <w:rsid w:val="009C6A25"/>
    <w:rsid w:val="009D3ED1"/>
    <w:rsid w:val="009E052A"/>
    <w:rsid w:val="009E20BE"/>
    <w:rsid w:val="009E3A62"/>
    <w:rsid w:val="009F6E50"/>
    <w:rsid w:val="00A01BD3"/>
    <w:rsid w:val="00A05056"/>
    <w:rsid w:val="00A06C8A"/>
    <w:rsid w:val="00A1108B"/>
    <w:rsid w:val="00A11554"/>
    <w:rsid w:val="00A1352A"/>
    <w:rsid w:val="00A24309"/>
    <w:rsid w:val="00A26563"/>
    <w:rsid w:val="00A26AEC"/>
    <w:rsid w:val="00A37271"/>
    <w:rsid w:val="00A37DD3"/>
    <w:rsid w:val="00A55D54"/>
    <w:rsid w:val="00A57124"/>
    <w:rsid w:val="00A61376"/>
    <w:rsid w:val="00A64099"/>
    <w:rsid w:val="00A65DB1"/>
    <w:rsid w:val="00A71739"/>
    <w:rsid w:val="00A73DD3"/>
    <w:rsid w:val="00A82548"/>
    <w:rsid w:val="00A904C4"/>
    <w:rsid w:val="00AA687A"/>
    <w:rsid w:val="00AA6A0C"/>
    <w:rsid w:val="00AC6B3C"/>
    <w:rsid w:val="00AE33B7"/>
    <w:rsid w:val="00AE42A9"/>
    <w:rsid w:val="00AE59C7"/>
    <w:rsid w:val="00B01A37"/>
    <w:rsid w:val="00B0636E"/>
    <w:rsid w:val="00B161C1"/>
    <w:rsid w:val="00B332D3"/>
    <w:rsid w:val="00B33D70"/>
    <w:rsid w:val="00B370ED"/>
    <w:rsid w:val="00B4367E"/>
    <w:rsid w:val="00B56A2B"/>
    <w:rsid w:val="00B64B1B"/>
    <w:rsid w:val="00B7777D"/>
    <w:rsid w:val="00B83C08"/>
    <w:rsid w:val="00B84002"/>
    <w:rsid w:val="00B8793F"/>
    <w:rsid w:val="00BA587C"/>
    <w:rsid w:val="00BD186A"/>
    <w:rsid w:val="00BF0168"/>
    <w:rsid w:val="00BF4353"/>
    <w:rsid w:val="00BF7CF2"/>
    <w:rsid w:val="00C04F00"/>
    <w:rsid w:val="00C07C5B"/>
    <w:rsid w:val="00C102A5"/>
    <w:rsid w:val="00C174B2"/>
    <w:rsid w:val="00C320D5"/>
    <w:rsid w:val="00C37DE0"/>
    <w:rsid w:val="00C64DB5"/>
    <w:rsid w:val="00C70E19"/>
    <w:rsid w:val="00CA102F"/>
    <w:rsid w:val="00CA55FE"/>
    <w:rsid w:val="00CB682C"/>
    <w:rsid w:val="00CC0784"/>
    <w:rsid w:val="00CC1DD7"/>
    <w:rsid w:val="00CD2935"/>
    <w:rsid w:val="00CD42D2"/>
    <w:rsid w:val="00CE4F47"/>
    <w:rsid w:val="00CF5FAE"/>
    <w:rsid w:val="00CF68E2"/>
    <w:rsid w:val="00D021A3"/>
    <w:rsid w:val="00D04817"/>
    <w:rsid w:val="00D06C76"/>
    <w:rsid w:val="00D301FC"/>
    <w:rsid w:val="00D31EAE"/>
    <w:rsid w:val="00D408CA"/>
    <w:rsid w:val="00D53F5F"/>
    <w:rsid w:val="00D5449C"/>
    <w:rsid w:val="00D762DD"/>
    <w:rsid w:val="00DB199B"/>
    <w:rsid w:val="00DC61D6"/>
    <w:rsid w:val="00DD0573"/>
    <w:rsid w:val="00DF554D"/>
    <w:rsid w:val="00E10A9A"/>
    <w:rsid w:val="00E16F70"/>
    <w:rsid w:val="00E236C0"/>
    <w:rsid w:val="00E43308"/>
    <w:rsid w:val="00E77750"/>
    <w:rsid w:val="00E80211"/>
    <w:rsid w:val="00EA000F"/>
    <w:rsid w:val="00EA37B6"/>
    <w:rsid w:val="00ED2BBB"/>
    <w:rsid w:val="00ED32C0"/>
    <w:rsid w:val="00ED4393"/>
    <w:rsid w:val="00ED6742"/>
    <w:rsid w:val="00ED7EFC"/>
    <w:rsid w:val="00EE5F6A"/>
    <w:rsid w:val="00EF2613"/>
    <w:rsid w:val="00EF379C"/>
    <w:rsid w:val="00EF7875"/>
    <w:rsid w:val="00F160A1"/>
    <w:rsid w:val="00F235E4"/>
    <w:rsid w:val="00F35B89"/>
    <w:rsid w:val="00F44172"/>
    <w:rsid w:val="00F5435A"/>
    <w:rsid w:val="00F850AC"/>
    <w:rsid w:val="00F909AD"/>
    <w:rsid w:val="00F931DB"/>
    <w:rsid w:val="00FA1552"/>
    <w:rsid w:val="00FB4D71"/>
    <w:rsid w:val="00FB5D83"/>
    <w:rsid w:val="00FB611D"/>
    <w:rsid w:val="00FD3579"/>
    <w:rsid w:val="00FF77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B33C4-C123-4D76-AEA2-81BC3A45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D42"/>
    <w:rPr>
      <w:sz w:val="24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86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086555"/>
    <w:pPr>
      <w:ind w:left="720"/>
      <w:contextualSpacing/>
    </w:pPr>
  </w:style>
  <w:style w:type="numbering" w:customStyle="1" w:styleId="Style1">
    <w:name w:val="Style1"/>
    <w:uiPriority w:val="99"/>
    <w:rsid w:val="00ED2BBB"/>
    <w:pPr>
      <w:numPr>
        <w:numId w:val="4"/>
      </w:numPr>
    </w:pPr>
  </w:style>
  <w:style w:type="paragraph" w:styleId="Galvene">
    <w:name w:val="header"/>
    <w:basedOn w:val="Parasts"/>
    <w:link w:val="Galv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A11554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A1155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A11554"/>
    <w:rPr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E33B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AE33B7"/>
    <w:rPr>
      <w:rFonts w:ascii="Segoe UI" w:hAnsi="Segoe UI" w:cs="Segoe UI"/>
      <w:sz w:val="18"/>
      <w:szCs w:val="18"/>
      <w:lang w:val="lv-LV"/>
    </w:rPr>
  </w:style>
  <w:style w:type="paragraph" w:customStyle="1" w:styleId="naisf">
    <w:name w:val="naisf"/>
    <w:basedOn w:val="Parasts"/>
    <w:rsid w:val="00CD42D2"/>
    <w:pPr>
      <w:spacing w:before="75" w:after="75"/>
      <w:ind w:firstLine="375"/>
      <w:jc w:val="both"/>
    </w:pPr>
    <w:rPr>
      <w:rFonts w:eastAsia="Times New Roman"/>
      <w:szCs w:val="24"/>
      <w:lang w:eastAsia="lv-LV"/>
    </w:rPr>
  </w:style>
  <w:style w:type="paragraph" w:customStyle="1" w:styleId="Default">
    <w:name w:val="Default"/>
    <w:rsid w:val="00CD42D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2C673E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Dace Tauriņa</cp:lastModifiedBy>
  <cp:revision>49</cp:revision>
  <cp:lastPrinted>2020-03-02T09:55:00Z</cp:lastPrinted>
  <dcterms:created xsi:type="dcterms:W3CDTF">2020-02-14T08:20:00Z</dcterms:created>
  <dcterms:modified xsi:type="dcterms:W3CDTF">2020-03-02T09:55:00Z</dcterms:modified>
</cp:coreProperties>
</file>