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B5C" w:rsidRPr="00525B5C" w:rsidRDefault="00525B5C" w:rsidP="00537313">
      <w:pPr>
        <w:keepNext/>
        <w:suppressAutoHyphens w:val="0"/>
        <w:ind w:left="11624"/>
        <w:outlineLvl w:val="0"/>
        <w:rPr>
          <w:rFonts w:eastAsia="Calibri"/>
          <w:b/>
          <w:bCs/>
          <w:lang w:eastAsia="lv-LV"/>
        </w:rPr>
      </w:pPr>
      <w:bookmarkStart w:id="0" w:name="_Hlk26190047"/>
      <w:r>
        <w:rPr>
          <w:rFonts w:eastAsia="Calibri"/>
          <w:b/>
          <w:lang w:eastAsia="lv-LV"/>
        </w:rPr>
        <w:t>1.</w:t>
      </w:r>
      <w:r w:rsidRPr="00525B5C">
        <w:rPr>
          <w:rFonts w:eastAsia="Calibri"/>
          <w:b/>
          <w:lang w:eastAsia="lv-LV"/>
        </w:rPr>
        <w:t>PIELIKUMS</w:t>
      </w:r>
      <w:r w:rsidRPr="00525B5C">
        <w:rPr>
          <w:rFonts w:eastAsia="Calibri"/>
          <w:lang w:eastAsia="lv-LV"/>
        </w:rPr>
        <w:t xml:space="preserve"> </w:t>
      </w:r>
    </w:p>
    <w:p w:rsidR="00525B5C" w:rsidRPr="00525B5C" w:rsidRDefault="00525B5C" w:rsidP="00537313">
      <w:pPr>
        <w:suppressAutoHyphens w:val="0"/>
        <w:ind w:left="11624"/>
        <w:contextualSpacing/>
        <w:jc w:val="both"/>
        <w:rPr>
          <w:rFonts w:eastAsia="Calibri"/>
          <w:b/>
          <w:szCs w:val="22"/>
          <w:lang w:eastAsia="lv-LV"/>
        </w:rPr>
      </w:pPr>
      <w:r w:rsidRPr="00525B5C">
        <w:rPr>
          <w:rFonts w:eastAsia="Calibri"/>
          <w:szCs w:val="22"/>
          <w:lang w:eastAsia="lv-LV"/>
        </w:rPr>
        <w:t>Limbažu novada domes</w:t>
      </w:r>
    </w:p>
    <w:p w:rsidR="00525B5C" w:rsidRPr="00525B5C" w:rsidRDefault="00525B5C" w:rsidP="00537313">
      <w:pPr>
        <w:suppressAutoHyphens w:val="0"/>
        <w:ind w:left="11624"/>
        <w:contextualSpacing/>
        <w:jc w:val="both"/>
        <w:rPr>
          <w:rFonts w:eastAsia="Calibri"/>
          <w:b/>
          <w:bCs/>
          <w:szCs w:val="22"/>
          <w:lang w:eastAsia="lv-LV"/>
        </w:rPr>
      </w:pPr>
      <w:r w:rsidRPr="00525B5C">
        <w:rPr>
          <w:rFonts w:eastAsia="Calibri"/>
          <w:lang w:eastAsia="lv-LV"/>
        </w:rPr>
        <w:t xml:space="preserve">19.12.2019. </w:t>
      </w:r>
      <w:r w:rsidRPr="00525B5C">
        <w:rPr>
          <w:rFonts w:eastAsia="Calibri"/>
          <w:szCs w:val="22"/>
          <w:lang w:eastAsia="lv-LV"/>
        </w:rPr>
        <w:t xml:space="preserve">sēdes lēmumam </w:t>
      </w:r>
    </w:p>
    <w:p w:rsidR="00525B5C" w:rsidRDefault="00525B5C" w:rsidP="00537313">
      <w:pPr>
        <w:suppressAutoHyphens w:val="0"/>
        <w:ind w:left="11624"/>
        <w:contextualSpacing/>
        <w:jc w:val="both"/>
        <w:rPr>
          <w:rFonts w:eastAsia="Calibri"/>
          <w:lang w:eastAsia="lv-LV"/>
        </w:rPr>
      </w:pPr>
      <w:r w:rsidRPr="00525B5C">
        <w:rPr>
          <w:rFonts w:eastAsia="Calibri"/>
          <w:szCs w:val="22"/>
          <w:lang w:eastAsia="lv-LV"/>
        </w:rPr>
        <w:t>(</w:t>
      </w:r>
      <w:r w:rsidRPr="00525B5C">
        <w:rPr>
          <w:bCs/>
          <w:lang w:eastAsia="en-US"/>
        </w:rPr>
        <w:t>protokols</w:t>
      </w:r>
      <w:r w:rsidRPr="00525B5C">
        <w:rPr>
          <w:rFonts w:eastAsia="Calibri"/>
          <w:szCs w:val="22"/>
          <w:lang w:eastAsia="lv-LV"/>
        </w:rPr>
        <w:t xml:space="preserve"> Nr.28, 1</w:t>
      </w:r>
      <w:r>
        <w:rPr>
          <w:rFonts w:eastAsia="Calibri"/>
          <w:szCs w:val="22"/>
          <w:lang w:eastAsia="lv-LV"/>
        </w:rPr>
        <w:t>5</w:t>
      </w:r>
      <w:r w:rsidRPr="00525B5C">
        <w:rPr>
          <w:rFonts w:eastAsia="Calibri"/>
          <w:lang w:eastAsia="lv-LV"/>
        </w:rPr>
        <w:t>.§)</w:t>
      </w:r>
    </w:p>
    <w:p w:rsidR="00525B5C" w:rsidRPr="00525B5C" w:rsidRDefault="00525B5C" w:rsidP="00525B5C">
      <w:pPr>
        <w:suppressAutoHyphens w:val="0"/>
        <w:ind w:left="10773"/>
        <w:contextualSpacing/>
        <w:jc w:val="both"/>
        <w:rPr>
          <w:rFonts w:eastAsia="Calibri"/>
          <w:b/>
          <w:bCs/>
          <w:szCs w:val="22"/>
          <w:lang w:eastAsia="lv-LV"/>
        </w:rPr>
      </w:pPr>
    </w:p>
    <w:p w:rsidR="00CF54E2" w:rsidRPr="00971D0B" w:rsidRDefault="00971D0B" w:rsidP="00971D0B">
      <w:pPr>
        <w:jc w:val="center"/>
      </w:pPr>
      <w:bookmarkStart w:id="1" w:name="_GoBack"/>
      <w:bookmarkEnd w:id="1"/>
      <w:r w:rsidRPr="00971D0B">
        <w:rPr>
          <w:b/>
          <w:bCs/>
          <w:kern w:val="36"/>
          <w:sz w:val="28"/>
          <w:szCs w:val="28"/>
          <w:lang w:eastAsia="lv-LV"/>
        </w:rPr>
        <w:t>Emiļa Melngaiļa Vidrižu novadpētniecības muzeja</w:t>
      </w:r>
      <w:r w:rsidRPr="00971D0B">
        <w:t xml:space="preserve"> </w:t>
      </w:r>
      <w:r w:rsidR="00CF54E2" w:rsidRPr="00971D0B">
        <w:rPr>
          <w:b/>
          <w:bCs/>
          <w:sz w:val="28"/>
          <w:szCs w:val="28"/>
        </w:rPr>
        <w:t>esošās situācijas SVID analīze</w:t>
      </w:r>
    </w:p>
    <w:bookmarkEnd w:id="0"/>
    <w:p w:rsidR="00CF54E2" w:rsidRPr="00971D0B" w:rsidRDefault="00CF54E2" w:rsidP="00971D0B">
      <w:pPr>
        <w:rPr>
          <w:b/>
        </w:rPr>
      </w:pPr>
    </w:p>
    <w:tbl>
      <w:tblPr>
        <w:tblW w:w="147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3610"/>
        <w:gridCol w:w="3060"/>
        <w:gridCol w:w="3225"/>
        <w:gridCol w:w="2833"/>
        <w:gridCol w:w="10"/>
      </w:tblGrid>
      <w:tr w:rsidR="00CF54E2" w:rsidTr="005C125B">
        <w:trPr>
          <w:gridAfter w:val="1"/>
          <w:wAfter w:w="10" w:type="dxa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54E2" w:rsidRDefault="00CF54E2" w:rsidP="005C125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Darbības joma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54E2" w:rsidRDefault="00CF54E2" w:rsidP="005C125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Stiprās puses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54E2" w:rsidRDefault="00CF54E2" w:rsidP="005C125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Vājās puses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F54E2" w:rsidRDefault="00CF54E2" w:rsidP="005C125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Iespējas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4E2" w:rsidRDefault="00CF54E2" w:rsidP="005C125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Draudi</w:t>
            </w:r>
          </w:p>
        </w:tc>
      </w:tr>
      <w:tr w:rsidR="00CF54E2" w:rsidTr="005C125B">
        <w:trPr>
          <w:gridAfter w:val="1"/>
          <w:wAfter w:w="10" w:type="dxa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Personāla un finanšu vadība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Limbažu novada pašvaldības finansējums iestādes darbības nodrošināšanai, personāla atalgojums</w:t>
            </w:r>
          </w:p>
          <w:p w:rsidR="00CF54E2" w:rsidRDefault="00CF54E2" w:rsidP="00CF54E2">
            <w:pPr>
              <w:snapToGrid w:val="0"/>
              <w:ind w:left="350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Zems darbinieku atalgojums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Bieža kadru mainība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Kvalificētu darbinieku trūkums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Pēctecības nenodrošināšana</w:t>
            </w:r>
          </w:p>
          <w:p w:rsidR="00CF54E2" w:rsidRDefault="00CF54E2" w:rsidP="00CF54E2">
            <w:pPr>
              <w:snapToGrid w:val="0"/>
              <w:ind w:left="350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KM piedāvātie kursi profesionālā līmeņa celšanai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Sadarbība ar memoriālajiem muzejiem un reģiona kultūras un izglītības iestādēm</w:t>
            </w:r>
          </w:p>
          <w:p w:rsidR="00CF54E2" w:rsidRDefault="00CF54E2" w:rsidP="005C125B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ESF un VKKF mērķprogrammu finansējuma piesaiste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Neskaidra nākotne – ATR ietekme uz reģiona attīstību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Nepietiekams finansējums kultūras jomai</w:t>
            </w:r>
          </w:p>
        </w:tc>
      </w:tr>
      <w:tr w:rsidR="00CF54E2" w:rsidTr="005C125B">
        <w:trPr>
          <w:gridAfter w:val="1"/>
          <w:wAfter w:w="10" w:type="dxa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Krājuma darbs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Pietiekami liels krājuma apjoms izstāžu un ekspozīcijas veidošanai.</w:t>
            </w:r>
          </w:p>
          <w:p w:rsidR="00971D0B" w:rsidRDefault="00971D0B" w:rsidP="00971D0B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Muzeja krājumam izveidota atsevišķa, noslēgta telpa</w:t>
            </w:r>
          </w:p>
          <w:p w:rsidR="00971D0B" w:rsidRDefault="00971D0B" w:rsidP="00971D0B">
            <w:pPr>
              <w:snapToGrid w:val="0"/>
              <w:ind w:left="350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Krājums nav apdrošināts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Nav nodrošināta pareiza krājuma uzglabāšana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Krājumu telpas nav iekārtotas atbilstoši mūsdienu prasībām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Iekļauts digitālajā kultūras kartē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Turpināt krājuma papildināšanu atbilstoši izvirzītajam mērķim, uzdevumiem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 xml:space="preserve">Nepiemērotas telpas krājuma glabāšanai un izvietošanai izstādēs, ekspozīcijā </w:t>
            </w:r>
          </w:p>
        </w:tc>
      </w:tr>
      <w:tr w:rsidR="00CF54E2" w:rsidTr="005C125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Pētniecības darbs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snapToGrid w:val="0"/>
              <w:ind w:left="350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Nav izvirzīts mērķis un nodefinēti uzdevumi pētnieciskā darba veikšanai</w:t>
            </w:r>
          </w:p>
          <w:p w:rsidR="00CF54E2" w:rsidRDefault="00CF54E2" w:rsidP="005C125B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Darbinieku trūkums pētnieciskajam darbam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4E2" w:rsidRDefault="00CF54E2" w:rsidP="005E7006">
            <w:pPr>
              <w:ind w:left="360"/>
            </w:pP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 xml:space="preserve">Sabiedrības </w:t>
            </w:r>
            <w:r w:rsidR="005E7006">
              <w:t>intereses zudums iestādes apmeklējumam</w:t>
            </w:r>
            <w:r>
              <w:t xml:space="preserve"> </w:t>
            </w:r>
          </w:p>
        </w:tc>
      </w:tr>
      <w:tr w:rsidR="00CF54E2" w:rsidTr="005C125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5E7006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I</w:t>
            </w:r>
            <w:r w:rsidR="00CF54E2">
              <w:rPr>
                <w:u w:val="single"/>
              </w:rPr>
              <w:t>zstāžu darbs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9D760A" w:rsidP="009D760A">
            <w:pPr>
              <w:pStyle w:val="Sarakstarindkopa"/>
              <w:numPr>
                <w:ilvl w:val="0"/>
                <w:numId w:val="3"/>
              </w:numPr>
              <w:snapToGrid w:val="0"/>
            </w:pPr>
            <w:r>
              <w:t>Pietiekamas uzkrāto memoriālo priekšmetu vērtības izstāžu veidošanai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5E7006" w:rsidP="00971D0B">
            <w:pPr>
              <w:pStyle w:val="Sarakstarindkopa"/>
              <w:numPr>
                <w:ilvl w:val="0"/>
                <w:numId w:val="3"/>
              </w:numPr>
              <w:snapToGrid w:val="0"/>
            </w:pPr>
            <w:r>
              <w:t>Nepiemērotas telpas</w:t>
            </w:r>
            <w:r w:rsidR="00537313">
              <w:t xml:space="preserve"> (</w:t>
            </w:r>
            <w:r>
              <w:t>telpu tehniskais stāvoklis) un materiāli tehniskais nodrošinājums izstāžu veidošanai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D40" w:rsidRDefault="00CD0D40" w:rsidP="00CD0D40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Memoriālo priekšmetu uzskaites aktualizēšana</w:t>
            </w:r>
          </w:p>
          <w:p w:rsidR="00CD0D40" w:rsidRDefault="00CD0D40" w:rsidP="00CD0D40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Vizuālā un tehniskā priekšmetu apsekošana</w:t>
            </w:r>
          </w:p>
          <w:p w:rsidR="00CF54E2" w:rsidRDefault="005E7006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Veikt telpu remontdarbus</w:t>
            </w:r>
            <w:r w:rsidR="00537313">
              <w:t xml:space="preserve"> </w:t>
            </w:r>
            <w:r>
              <w:t xml:space="preserve">- mūsdienīgas apkures </w:t>
            </w:r>
            <w:r>
              <w:lastRenderedPageBreak/>
              <w:t>sistēmas izbūve, sienu, grīdu, griestu remontdarbi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Ekspozīciju papildināt ar tekstiem angļu un krievu valodā</w:t>
            </w:r>
          </w:p>
          <w:p w:rsidR="00215E46" w:rsidRDefault="00215E46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 xml:space="preserve">Plānot un </w:t>
            </w:r>
            <w:r w:rsidR="009D760A">
              <w:t xml:space="preserve">piesaistīt jau gatavas izstādes </w:t>
            </w:r>
          </w:p>
          <w:p w:rsidR="005E7006" w:rsidRDefault="009D760A" w:rsidP="00035793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Deponēt priekšmetus no citiem muzeju krājumiem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Eksponēto priekšmetu neaizsargātība</w:t>
            </w:r>
            <w:r w:rsidR="005E7006">
              <w:t xml:space="preserve"> pret ārējās vides apstākļiem (mitrum</w:t>
            </w:r>
            <w:r w:rsidR="00537313">
              <w:t>a</w:t>
            </w:r>
            <w:r w:rsidR="005E7006">
              <w:t>, gaisma</w:t>
            </w:r>
            <w:r w:rsidR="00537313">
              <w:t>s</w:t>
            </w:r>
            <w:r w:rsidR="005E7006">
              <w:t>, temperatūras svārstībām)</w:t>
            </w:r>
            <w:r w:rsidR="00215E46">
              <w:t>, priekšmetu fiziska bojāšanās</w:t>
            </w:r>
          </w:p>
          <w:p w:rsidR="00CF54E2" w:rsidRDefault="00CF54E2" w:rsidP="005C125B">
            <w:r>
              <w:lastRenderedPageBreak/>
              <w:t xml:space="preserve"> </w:t>
            </w:r>
          </w:p>
        </w:tc>
      </w:tr>
      <w:tr w:rsidR="005E7006" w:rsidTr="005C125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006" w:rsidRDefault="005E7006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lastRenderedPageBreak/>
              <w:t>Ekspozīcija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006" w:rsidRDefault="009D760A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Pietiekamas uzkrāto memoriālo priekšmetu vērtības patstāvīgo ekspozīciju veidošanai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006" w:rsidRDefault="00215E46" w:rsidP="00585BEB">
            <w:pPr>
              <w:pStyle w:val="Sarakstarindkopa"/>
              <w:numPr>
                <w:ilvl w:val="0"/>
                <w:numId w:val="2"/>
              </w:numPr>
              <w:snapToGrid w:val="0"/>
            </w:pPr>
            <w:r>
              <w:t>Nepiemērotas telpas</w:t>
            </w:r>
            <w:r w:rsidR="009D760A">
              <w:t xml:space="preserve"> (</w:t>
            </w:r>
            <w:r>
              <w:t>telpu tehniskais stāvoklis) un materiāli tehniskais nodrošinājums ekspozīciju veidošanai</w:t>
            </w:r>
          </w:p>
          <w:p w:rsidR="009D760A" w:rsidRDefault="009D760A" w:rsidP="00585BEB">
            <w:pPr>
              <w:pStyle w:val="Sarakstarindkopa"/>
              <w:numPr>
                <w:ilvl w:val="0"/>
                <w:numId w:val="2"/>
              </w:numPr>
              <w:snapToGrid w:val="0"/>
            </w:pPr>
            <w:r>
              <w:t>Nepietiekam metodiskā pārraudzība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D760A" w:rsidRDefault="009D760A" w:rsidP="005E700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Memoriālo priekšmetu uzskaites aktualizēšana</w:t>
            </w:r>
          </w:p>
          <w:p w:rsidR="009D760A" w:rsidRDefault="009D760A" w:rsidP="005E700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Vizuālā un tehniskā priekšmetu apsekošana</w:t>
            </w:r>
          </w:p>
          <w:p w:rsidR="009D760A" w:rsidRDefault="009D760A" w:rsidP="005E700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Priekšmetu eksponēšana</w:t>
            </w:r>
          </w:p>
          <w:p w:rsidR="005E7006" w:rsidRDefault="005E7006" w:rsidP="005E700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Veidot no jauna oriģinālas ekspozīcijas par L.</w:t>
            </w:r>
            <w:r w:rsidR="00CD0D40">
              <w:t xml:space="preserve"> </w:t>
            </w:r>
            <w:r>
              <w:t>Paegli, E.</w:t>
            </w:r>
            <w:r w:rsidR="00CD0D40">
              <w:t xml:space="preserve"> </w:t>
            </w:r>
            <w:r>
              <w:t>Melngaili, Vidrižu novadpētniecību, skolu vēsturi un kolhozu vēsturi</w:t>
            </w:r>
            <w:r w:rsidR="00215E46">
              <w:t xml:space="preserve"> </w:t>
            </w:r>
            <w:proofErr w:type="spellStart"/>
            <w:r w:rsidR="00215E46">
              <w:t>u.c</w:t>
            </w:r>
            <w:proofErr w:type="spellEnd"/>
          </w:p>
          <w:p w:rsidR="005E7006" w:rsidRDefault="005E7006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Ekspozīcija papildināta ar aprakstiem angļu, vācu un krievu valodās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006" w:rsidRDefault="009D760A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Fiziskā un morālā novecošanās</w:t>
            </w:r>
          </w:p>
          <w:p w:rsidR="009D760A" w:rsidRDefault="009D760A" w:rsidP="00585BEB">
            <w:pPr>
              <w:snapToGrid w:val="0"/>
              <w:ind w:left="350"/>
            </w:pPr>
          </w:p>
        </w:tc>
      </w:tr>
      <w:tr w:rsidR="00CF54E2" w:rsidTr="005C125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Darbs ar apmeklētājiem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760A" w:rsidRDefault="00537313" w:rsidP="00BF3A1E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I</w:t>
            </w:r>
            <w:r w:rsidR="00BF3A1E">
              <w:t>estādes atrašanā</w:t>
            </w:r>
            <w:r>
              <w:t>s</w:t>
            </w:r>
            <w:r w:rsidR="00BF3A1E">
              <w:t xml:space="preserve"> vieta un k</w:t>
            </w:r>
            <w:r w:rsidR="009D760A">
              <w:t xml:space="preserve">ultūrvēsturiskā vide 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ind w:left="350" w:hanging="284"/>
            </w:pPr>
            <w:r>
              <w:t>Individuāla pieeja apmeklētājiem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ind w:left="350" w:hanging="284"/>
            </w:pPr>
            <w:r>
              <w:t xml:space="preserve">Dažādi pasākumi </w:t>
            </w:r>
            <w:r w:rsidR="009D760A">
              <w:t>iestādē</w:t>
            </w:r>
          </w:p>
          <w:p w:rsidR="00CF54E2" w:rsidRDefault="00CF54E2" w:rsidP="009D760A">
            <w:pPr>
              <w:numPr>
                <w:ilvl w:val="0"/>
                <w:numId w:val="2"/>
              </w:numPr>
              <w:tabs>
                <w:tab w:val="num" w:pos="350"/>
              </w:tabs>
              <w:ind w:left="350" w:hanging="284"/>
            </w:pPr>
            <w:r>
              <w:t>Sadarbība ar skolām</w:t>
            </w:r>
            <w:r w:rsidR="009D760A">
              <w:t xml:space="preserve"> un citām iestādēm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ind w:left="350" w:hanging="284"/>
            </w:pPr>
            <w:r>
              <w:t>Ekskursijas dabā</w:t>
            </w:r>
          </w:p>
          <w:p w:rsidR="00CF54E2" w:rsidRDefault="00CF54E2" w:rsidP="009D760A">
            <w:pPr>
              <w:numPr>
                <w:ilvl w:val="0"/>
                <w:numId w:val="2"/>
              </w:numPr>
              <w:tabs>
                <w:tab w:val="num" w:pos="350"/>
              </w:tabs>
              <w:ind w:left="350" w:hanging="284"/>
            </w:pPr>
            <w:r>
              <w:t>Autostāvvieta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9D760A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Sezonāls darbs telpu nepiemērotības dēļ (mūsdienu prasībām neatbilstoša apkures sistēma)</w:t>
            </w:r>
          </w:p>
          <w:p w:rsidR="00CD0D40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Vides pieejamība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D40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Iestādes statusa un nosaukuma maiņa</w:t>
            </w:r>
          </w:p>
          <w:p w:rsidR="00CF54E2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Labiekārtot vides pieejamību</w:t>
            </w:r>
          </w:p>
          <w:p w:rsidR="00CD0D40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Ierīkot mūsdienīgu apkures sistēmu</w:t>
            </w:r>
          </w:p>
          <w:p w:rsidR="00CD0D40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Dažādot piedāvāto pakalpojumu klāstu</w:t>
            </w:r>
          </w:p>
          <w:p w:rsidR="00CF54E2" w:rsidRDefault="00CD0D40" w:rsidP="00585BEB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Veidot iestādes atpazīstamību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Intereses zudums par m</w:t>
            </w:r>
            <w:r w:rsidR="00CD0D40">
              <w:t>azajiem</w:t>
            </w:r>
            <w:r>
              <w:t xml:space="preserve"> muzejiem</w:t>
            </w:r>
          </w:p>
          <w:p w:rsidR="00CD0D40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ATR reforma</w:t>
            </w:r>
          </w:p>
          <w:p w:rsidR="00CD0D40" w:rsidRDefault="00CD0D40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Iedzīvotāju skaita samazināšanās</w:t>
            </w:r>
          </w:p>
        </w:tc>
      </w:tr>
      <w:tr w:rsidR="00CF54E2" w:rsidTr="005C125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Muzeja mārketings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585BEB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S</w:t>
            </w:r>
            <w:r w:rsidR="00CF54E2">
              <w:t>adarbība ar masu medijiem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Pašvaldībā apstiprināts muzeja pakalpojumu cenrādis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Pasākumi muzeja teritorijā</w:t>
            </w:r>
            <w:r w:rsidR="00585BEB">
              <w:t xml:space="preserve"> un telpās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Sadarbība ar</w:t>
            </w:r>
            <w:r w:rsidR="00585BEB">
              <w:t xml:space="preserve"> Vidrižu kultūras un sporta centru</w:t>
            </w:r>
            <w:r>
              <w:t>, bibliotēku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Muzejā nav suvenīru veikala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Muzeja zemās biļešu cenas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Mazas telpas pasākumiem muzejā</w:t>
            </w:r>
          </w:p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Darbinieku trūkums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F54E2" w:rsidRDefault="00CF54E2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Apmeklētāju ieinteresētības pieaugums muzeja produktu izmantojumā</w:t>
            </w:r>
            <w:r w:rsidR="00537313">
              <w:t xml:space="preserve"> </w:t>
            </w:r>
            <w:r w:rsidR="00585BEB">
              <w:t xml:space="preserve">- radītā </w:t>
            </w:r>
            <w:r w:rsidR="00585BEB">
              <w:lastRenderedPageBreak/>
              <w:t>piedāvājuma plaša reklamēšana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585BEB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Lielais pasākumu skaits</w:t>
            </w:r>
          </w:p>
          <w:p w:rsidR="00585BEB" w:rsidRDefault="00585BEB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Funkciju dublēšanās</w:t>
            </w:r>
          </w:p>
          <w:p w:rsidR="00585BEB" w:rsidRDefault="00585BEB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lastRenderedPageBreak/>
              <w:t>Iedzīvotāju skaita samazināšanās</w:t>
            </w:r>
          </w:p>
        </w:tc>
      </w:tr>
      <w:tr w:rsidR="00CF54E2" w:rsidTr="005C125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5E7006" w:rsidP="005C125B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lastRenderedPageBreak/>
              <w:t>Vide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BEB" w:rsidRDefault="00585BEB" w:rsidP="00585BEB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Kultūrvēsturiskā vide un iestādes atrašanās vieta</w:t>
            </w:r>
          </w:p>
          <w:p w:rsidR="00585BEB" w:rsidRDefault="00585BEB" w:rsidP="00585BEB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Pietiekami plaša teritorija</w:t>
            </w:r>
          </w:p>
          <w:p w:rsidR="00CF54E2" w:rsidRDefault="00CF54E2" w:rsidP="00585BEB">
            <w:pPr>
              <w:snapToGrid w:val="0"/>
              <w:ind w:left="350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F54E2" w:rsidRDefault="00CF54E2" w:rsidP="005C125B">
            <w:pPr>
              <w:tabs>
                <w:tab w:val="left" w:pos="792"/>
              </w:tabs>
              <w:snapToGrid w:val="0"/>
              <w:ind w:left="432"/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7006" w:rsidRDefault="00585BEB" w:rsidP="005E700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Nodrošināt vides pieejamību</w:t>
            </w:r>
          </w:p>
          <w:p w:rsidR="00585BEB" w:rsidRDefault="00585BEB" w:rsidP="005E700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Labiekārtot atpūtas vietas</w:t>
            </w:r>
          </w:p>
          <w:p w:rsidR="00544B16" w:rsidRPr="00544B16" w:rsidRDefault="00585BEB" w:rsidP="00544B1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Pietiekams telpu skaits gan izstādēm, gan ekspozīcijām, gan dažādu kultūras un izglītības pasākumu organizēšanai</w:t>
            </w:r>
            <w:r w:rsidR="00544B16">
              <w:t xml:space="preserve"> </w:t>
            </w:r>
          </w:p>
          <w:p w:rsidR="00544B16" w:rsidRPr="00544B16" w:rsidRDefault="00544B16" w:rsidP="00544B16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 w:rsidRPr="00544B16">
              <w:rPr>
                <w:lang w:eastAsia="en-US"/>
              </w:rPr>
              <w:t>Ēkas arhitektoniski mākslinieciskā izpēte, lai identificētu oriģinālo galdniecības izstrādājumu esamību, atklātu telpu sākotnējos apdares, tonālos risinājumus</w:t>
            </w:r>
          </w:p>
          <w:p w:rsidR="00CF54E2" w:rsidRDefault="00CF54E2" w:rsidP="00035793">
            <w:pPr>
              <w:snapToGrid w:val="0"/>
            </w:pP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4E2" w:rsidRDefault="00544B16" w:rsidP="00CF54E2">
            <w:pPr>
              <w:numPr>
                <w:ilvl w:val="0"/>
                <w:numId w:val="2"/>
              </w:numPr>
              <w:tabs>
                <w:tab w:val="num" w:pos="350"/>
              </w:tabs>
              <w:snapToGrid w:val="0"/>
              <w:ind w:left="350" w:hanging="284"/>
            </w:pPr>
            <w:r>
              <w:t>Finanšu resursu trūkums</w:t>
            </w:r>
          </w:p>
        </w:tc>
      </w:tr>
    </w:tbl>
    <w:p w:rsidR="00525B5C" w:rsidRDefault="00525B5C" w:rsidP="00CF54E2"/>
    <w:sectPr w:rsidR="00525B5C" w:rsidSect="00537313">
      <w:headerReference w:type="default" r:id="rId7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768" w:rsidRDefault="001E0768" w:rsidP="00537313">
      <w:r>
        <w:separator/>
      </w:r>
    </w:p>
  </w:endnote>
  <w:endnote w:type="continuationSeparator" w:id="0">
    <w:p w:rsidR="001E0768" w:rsidRDefault="001E0768" w:rsidP="00537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768" w:rsidRDefault="001E0768" w:rsidP="00537313">
      <w:r>
        <w:separator/>
      </w:r>
    </w:p>
  </w:footnote>
  <w:footnote w:type="continuationSeparator" w:id="0">
    <w:p w:rsidR="001E0768" w:rsidRDefault="001E0768" w:rsidP="00537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313" w:rsidRDefault="00537313" w:rsidP="00537313">
    <w:pPr>
      <w:pStyle w:val="Galvene"/>
      <w:tabs>
        <w:tab w:val="center" w:pos="6979"/>
        <w:tab w:val="left" w:pos="9285"/>
      </w:tabs>
      <w:jc w:val="center"/>
    </w:pPr>
    <w:sdt>
      <w:sdtPr>
        <w:id w:val="-306323759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sdtContent>
    </w:sdt>
  </w:p>
  <w:p w:rsidR="00537313" w:rsidRDefault="0053731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E"/>
    <w:multiLevelType w:val="singleLevel"/>
    <w:tmpl w:val="0000000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</w:abstractNum>
  <w:abstractNum w:abstractNumId="2" w15:restartNumberingAfterBreak="0">
    <w:nsid w:val="21FC7B17"/>
    <w:multiLevelType w:val="hybridMultilevel"/>
    <w:tmpl w:val="E71E1CB6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072BD"/>
    <w:multiLevelType w:val="hybridMultilevel"/>
    <w:tmpl w:val="8EB40762"/>
    <w:lvl w:ilvl="0" w:tplc="79AAE7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5873953"/>
    <w:multiLevelType w:val="hybridMultilevel"/>
    <w:tmpl w:val="C56EB45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55FB6"/>
    <w:multiLevelType w:val="hybridMultilevel"/>
    <w:tmpl w:val="03D2EB70"/>
    <w:lvl w:ilvl="0" w:tplc="B6488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D844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A6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7A5F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D8C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C5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A8B5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21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9C4B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5D90B95"/>
    <w:multiLevelType w:val="hybridMultilevel"/>
    <w:tmpl w:val="E4A408B0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66836AED"/>
    <w:multiLevelType w:val="hybridMultilevel"/>
    <w:tmpl w:val="A99C43B0"/>
    <w:lvl w:ilvl="0" w:tplc="3E407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943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5EC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B40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B42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D03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FAE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6488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8F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A6720DA"/>
    <w:multiLevelType w:val="hybridMultilevel"/>
    <w:tmpl w:val="EE7C89F6"/>
    <w:lvl w:ilvl="0" w:tplc="0426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E2"/>
    <w:rsid w:val="00035793"/>
    <w:rsid w:val="001D2332"/>
    <w:rsid w:val="001E0768"/>
    <w:rsid w:val="00215E46"/>
    <w:rsid w:val="002A7262"/>
    <w:rsid w:val="00525B5C"/>
    <w:rsid w:val="00537313"/>
    <w:rsid w:val="00544B16"/>
    <w:rsid w:val="00585BEB"/>
    <w:rsid w:val="005E7006"/>
    <w:rsid w:val="00804B79"/>
    <w:rsid w:val="008D2935"/>
    <w:rsid w:val="008E62A3"/>
    <w:rsid w:val="00971D0B"/>
    <w:rsid w:val="009D760A"/>
    <w:rsid w:val="00BF3A1E"/>
    <w:rsid w:val="00CD0D40"/>
    <w:rsid w:val="00CF54E2"/>
    <w:rsid w:val="00D13DE2"/>
    <w:rsid w:val="00EA54F9"/>
    <w:rsid w:val="00EF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A7A837-A114-4CEB-BF19-D13C24C1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F54E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9D760A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3731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37313"/>
    <w:rPr>
      <w:rFonts w:ascii="Segoe UI" w:eastAsia="Times New Roman" w:hAnsi="Segoe UI" w:cs="Segoe UI"/>
      <w:sz w:val="18"/>
      <w:szCs w:val="18"/>
      <w:lang w:eastAsia="ar-SA"/>
    </w:rPr>
  </w:style>
  <w:style w:type="paragraph" w:styleId="Galvene">
    <w:name w:val="header"/>
    <w:basedOn w:val="Parasts"/>
    <w:link w:val="GalveneRakstz"/>
    <w:uiPriority w:val="99"/>
    <w:unhideWhenUsed/>
    <w:rsid w:val="0053731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5373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Kjene">
    <w:name w:val="footer"/>
    <w:basedOn w:val="Parasts"/>
    <w:link w:val="KjeneRakstz"/>
    <w:uiPriority w:val="99"/>
    <w:unhideWhenUsed/>
    <w:rsid w:val="0053731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5373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4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6583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8315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536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4543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4569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2682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29449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1557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3961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80">
          <w:marLeft w:val="108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2599</Words>
  <Characters>1482</Characters>
  <Application>Microsoft Office Word</Application>
  <DocSecurity>0</DocSecurity>
  <Lines>12</Lines>
  <Paragraphs>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12</cp:revision>
  <cp:lastPrinted>2019-12-30T07:19:00Z</cp:lastPrinted>
  <dcterms:created xsi:type="dcterms:W3CDTF">2019-11-27T10:57:00Z</dcterms:created>
  <dcterms:modified xsi:type="dcterms:W3CDTF">2019-12-30T07:22:00Z</dcterms:modified>
</cp:coreProperties>
</file>