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66B" w:rsidRDefault="00BF2C25" w:rsidP="00B76F63">
      <w:pPr>
        <w:snapToGrid w:val="0"/>
        <w:jc w:val="center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3822827" wp14:editId="234B1EBC">
            <wp:simplePos x="0" y="0"/>
            <wp:positionH relativeFrom="page">
              <wp:posOffset>0</wp:posOffset>
            </wp:positionH>
            <wp:positionV relativeFrom="paragraph">
              <wp:posOffset>-718185</wp:posOffset>
            </wp:positionV>
            <wp:extent cx="7552690" cy="2327910"/>
            <wp:effectExtent l="0" t="0" r="0" b="0"/>
            <wp:wrapTopAndBottom/>
            <wp:docPr id="2" name="Picture 2" descr="New Picture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New Picture (4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63" w:rsidRPr="00B76F63" w:rsidRDefault="00B76F63" w:rsidP="00B76F63">
      <w:pPr>
        <w:snapToGrid w:val="0"/>
        <w:jc w:val="center"/>
        <w:rPr>
          <w:b/>
        </w:rPr>
      </w:pPr>
      <w:r w:rsidRPr="003A417D">
        <w:t>Limbažos</w:t>
      </w:r>
    </w:p>
    <w:p w:rsidR="00B76F63" w:rsidRDefault="00B76F63" w:rsidP="00B76F63">
      <w:pPr>
        <w:snapToGrid w:val="0"/>
        <w:rPr>
          <w:b/>
        </w:rPr>
      </w:pPr>
    </w:p>
    <w:p w:rsidR="00B76F63" w:rsidRDefault="00B76F63" w:rsidP="000104B9">
      <w:pPr>
        <w:snapToGrid w:val="0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0104B9" w:rsidRPr="001E5E5A" w:rsidRDefault="00A8166B" w:rsidP="00A8166B">
      <w:pPr>
        <w:snapToGrid w:val="0"/>
        <w:jc w:val="center"/>
        <w:rPr>
          <w:b/>
        </w:rPr>
      </w:pPr>
      <w:r>
        <w:rPr>
          <w:b/>
          <w:bCs/>
        </w:rPr>
        <w:t xml:space="preserve">Limbažu novada pašvaldības </w:t>
      </w:r>
      <w:r w:rsidR="00B76F63" w:rsidRPr="003A417D">
        <w:rPr>
          <w:b/>
          <w:bCs/>
        </w:rPr>
        <w:t>201</w:t>
      </w:r>
      <w:r w:rsidR="00B76F63">
        <w:rPr>
          <w:b/>
          <w:bCs/>
        </w:rPr>
        <w:t>8</w:t>
      </w:r>
      <w:r w:rsidR="00B76F63" w:rsidRPr="003A417D">
        <w:rPr>
          <w:b/>
          <w:bCs/>
        </w:rPr>
        <w:t xml:space="preserve">.gada </w:t>
      </w:r>
      <w:r w:rsidR="00BF2C25">
        <w:rPr>
          <w:b/>
          <w:bCs/>
        </w:rPr>
        <w:t>24</w:t>
      </w:r>
      <w:r w:rsidR="00B76F63" w:rsidRPr="003A417D">
        <w:rPr>
          <w:b/>
          <w:bCs/>
        </w:rPr>
        <w:t>.</w:t>
      </w:r>
      <w:r>
        <w:rPr>
          <w:b/>
        </w:rPr>
        <w:t>maija</w:t>
      </w:r>
      <w:r w:rsidR="00B76F63" w:rsidRPr="003A417D">
        <w:rPr>
          <w:b/>
        </w:rPr>
        <w:t xml:space="preserve"> </w:t>
      </w:r>
      <w:r w:rsidR="00B76F63">
        <w:rPr>
          <w:b/>
          <w:bCs/>
        </w:rPr>
        <w:t>saistošajiem noteikumiem Nr.</w:t>
      </w:r>
      <w:r w:rsidR="00BF2C25">
        <w:rPr>
          <w:b/>
          <w:bCs/>
        </w:rPr>
        <w:t>17</w:t>
      </w:r>
    </w:p>
    <w:p w:rsidR="000104B9" w:rsidRDefault="000104B9" w:rsidP="00A8166B">
      <w:pPr>
        <w:pStyle w:val="Nosaukums"/>
        <w:tabs>
          <w:tab w:val="left" w:pos="567"/>
        </w:tabs>
        <w:rPr>
          <w:b/>
          <w:bCs/>
          <w:sz w:val="24"/>
          <w:szCs w:val="24"/>
        </w:rPr>
      </w:pPr>
      <w:r w:rsidRPr="001E5E5A">
        <w:rPr>
          <w:b/>
          <w:sz w:val="24"/>
          <w:szCs w:val="24"/>
        </w:rPr>
        <w:t>“</w:t>
      </w:r>
      <w:r w:rsidR="001E5E5A" w:rsidRPr="001E5E5A">
        <w:rPr>
          <w:b/>
          <w:sz w:val="24"/>
          <w:szCs w:val="24"/>
        </w:rPr>
        <w:t xml:space="preserve">Grozījumi Limbažu novada </w:t>
      </w:r>
      <w:r w:rsidR="00B04CA0">
        <w:rPr>
          <w:b/>
          <w:sz w:val="24"/>
          <w:szCs w:val="24"/>
        </w:rPr>
        <w:t>domes</w:t>
      </w:r>
      <w:r w:rsidR="001E5E5A" w:rsidRPr="001E5E5A">
        <w:rPr>
          <w:b/>
          <w:sz w:val="24"/>
          <w:szCs w:val="24"/>
        </w:rPr>
        <w:t xml:space="preserve"> 2015.gada 30.aprīļa saisto</w:t>
      </w:r>
      <w:r w:rsidR="000A5F61">
        <w:rPr>
          <w:b/>
          <w:sz w:val="24"/>
          <w:szCs w:val="24"/>
        </w:rPr>
        <w:t>šajos noteikumos Nr.8 „Nolikums par</w:t>
      </w:r>
      <w:r w:rsidR="001E5E5A" w:rsidRPr="001E5E5A">
        <w:rPr>
          <w:b/>
          <w:sz w:val="24"/>
          <w:szCs w:val="24"/>
        </w:rPr>
        <w:t xml:space="preserve"> licencēto makšķerēšanu Katvaru ezerā 2015. – 2018.gadam</w:t>
      </w:r>
      <w:r w:rsidRPr="001E5E5A">
        <w:rPr>
          <w:b/>
          <w:bCs/>
          <w:sz w:val="24"/>
          <w:szCs w:val="24"/>
        </w:rPr>
        <w:t>”</w:t>
      </w:r>
      <w:r w:rsidR="001E5E5A" w:rsidRPr="001E5E5A">
        <w:rPr>
          <w:b/>
          <w:bCs/>
          <w:sz w:val="24"/>
          <w:szCs w:val="24"/>
        </w:rPr>
        <w:t>”</w:t>
      </w:r>
    </w:p>
    <w:p w:rsidR="00BF2C25" w:rsidRPr="001E5E5A" w:rsidRDefault="00BF2C25" w:rsidP="00A8166B">
      <w:pPr>
        <w:pStyle w:val="Nosaukums"/>
        <w:tabs>
          <w:tab w:val="left" w:pos="567"/>
        </w:tabs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1E5E5A" w:rsidRPr="001E5E5A" w:rsidTr="00BF2C2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C25" w:rsidRDefault="001E5E5A" w:rsidP="002D1DFB">
            <w:pPr>
              <w:ind w:right="-108"/>
              <w:jc w:val="center"/>
              <w:rPr>
                <w:b/>
              </w:rPr>
            </w:pPr>
            <w:r w:rsidRPr="00BF2C25">
              <w:rPr>
                <w:b/>
              </w:rPr>
              <w:t>Paskaidrojuma</w:t>
            </w:r>
          </w:p>
          <w:p w:rsidR="001E5E5A" w:rsidRPr="00BF2C25" w:rsidRDefault="001E5E5A" w:rsidP="002D1DFB">
            <w:pPr>
              <w:ind w:right="-108"/>
              <w:jc w:val="center"/>
              <w:rPr>
                <w:b/>
              </w:rPr>
            </w:pPr>
            <w:r w:rsidRPr="00BF2C25">
              <w:rPr>
                <w:b/>
              </w:rPr>
              <w:t>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BF2C25" w:rsidRDefault="001E5E5A" w:rsidP="002D1DFB">
            <w:pPr>
              <w:jc w:val="center"/>
              <w:rPr>
                <w:b/>
              </w:rPr>
            </w:pPr>
            <w:r w:rsidRPr="00BF2C25">
              <w:rPr>
                <w:b/>
              </w:rPr>
              <w:t>Norādāmā informācija</w:t>
            </w:r>
          </w:p>
        </w:tc>
      </w:tr>
      <w:tr w:rsidR="001E5E5A" w:rsidRPr="001E5E5A" w:rsidTr="00BF2C2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1E5E5A">
            <w:pPr>
              <w:numPr>
                <w:ilvl w:val="0"/>
                <w:numId w:val="11"/>
              </w:numPr>
              <w:tabs>
                <w:tab w:val="left" w:pos="318"/>
              </w:tabs>
              <w:ind w:left="318" w:hanging="284"/>
              <w:rPr>
                <w:bCs/>
              </w:rPr>
            </w:pPr>
            <w:r w:rsidRPr="001E5E5A">
              <w:rPr>
                <w:bCs/>
              </w:rPr>
              <w:t>Saistošo noteikumu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A8166B">
            <w:pPr>
              <w:ind w:right="33"/>
              <w:jc w:val="both"/>
              <w:rPr>
                <w:bCs/>
              </w:rPr>
            </w:pPr>
            <w:r w:rsidRPr="001E5E5A">
              <w:rPr>
                <w:bCs/>
              </w:rPr>
              <w:t>Zvejniecības  likuma  10.panta  piek</w:t>
            </w:r>
            <w:r w:rsidR="00B04CA0">
              <w:rPr>
                <w:bCs/>
              </w:rPr>
              <w:t>tā  daļa nosaka, ka pašvaldība</w:t>
            </w:r>
            <w:r w:rsidRPr="001E5E5A">
              <w:rPr>
                <w:bCs/>
              </w:rPr>
              <w:t xml:space="preserve"> izdod saistošos noteikumus par licencēto makšķerēšanu, licencēto vēžošanu vai licencētajām zemūdens medībām tās administratīvajā teritorijā esošajos ūdeņos, ja saskaņā ar normatīvajiem aktiem par licencēto makšķerēšanu, licencēto vēžošanu un licencētajām zemūdens</w:t>
            </w:r>
            <w:r>
              <w:rPr>
                <w:bCs/>
              </w:rPr>
              <w:t xml:space="preserve"> </w:t>
            </w:r>
            <w:r w:rsidRPr="001E5E5A">
              <w:rPr>
                <w:bCs/>
              </w:rPr>
              <w:t>medībām šajos ūdeņos paredzēta makšķerēšanas, vēžošanas vai zemūdens  medību tiesību izmantošana ar īpašām atļaujām (licencēm). Ministru kabineta 2015.gada 22.decembra noteikumu Nr.799 „Lice</w:t>
            </w:r>
            <w:r w:rsidR="000A5F61">
              <w:rPr>
                <w:bCs/>
              </w:rPr>
              <w:t>ncētās</w:t>
            </w:r>
            <w:bookmarkStart w:id="0" w:name="_GoBack"/>
            <w:bookmarkEnd w:id="0"/>
            <w:r w:rsidR="000A5F61">
              <w:rPr>
                <w:bCs/>
              </w:rPr>
              <w:t xml:space="preserve"> makšķerēšanas, vēžošanas un </w:t>
            </w:r>
            <w:r w:rsidRPr="001E5E5A">
              <w:rPr>
                <w:bCs/>
              </w:rPr>
              <w:t xml:space="preserve">zemūdens medību  kārtība” 7.punkts nosaka, ka organizētājs izstrādā attiecīgo ūdeņu licencētās makšķerēšanas, vēžošanas vai zemūdens medību  nolikumu. </w:t>
            </w:r>
            <w:r>
              <w:rPr>
                <w:bCs/>
              </w:rPr>
              <w:t xml:space="preserve">Saskaņā ar </w:t>
            </w:r>
            <w:r w:rsidRPr="001E5E5A">
              <w:rPr>
                <w:bCs/>
              </w:rPr>
              <w:t>Ministru kabineta noteikumu</w:t>
            </w:r>
            <w:r>
              <w:rPr>
                <w:bCs/>
              </w:rPr>
              <w:t xml:space="preserve"> 15.punktam</w:t>
            </w:r>
            <w:r>
              <w:t xml:space="preserve"> pašvaldības saistošie noteikumi par licencēto makšķerēšanu, vēžošanu vai zemūdens medībām ir spēkā līdz konkrētam termiņam vai uz laikposmu, kam izstrādāts šo noteikumu 5.1. apakšpunktā minētais zinātniskais pamatojums. Ņemot vērā, ka </w:t>
            </w:r>
            <w:r w:rsidRPr="007D7E2D">
              <w:rPr>
                <w:bCs/>
              </w:rPr>
              <w:t>Nolikum</w:t>
            </w:r>
            <w:r>
              <w:rPr>
                <w:bCs/>
              </w:rPr>
              <w:t>s</w:t>
            </w:r>
            <w:r w:rsidRPr="007D7E2D">
              <w:rPr>
                <w:bCs/>
              </w:rPr>
              <w:t xml:space="preserve"> par  licencēto makšķerēšanu Katvaru ezerā 2015. – 2018.gadam</w:t>
            </w:r>
            <w:r>
              <w:rPr>
                <w:bCs/>
              </w:rPr>
              <w:t xml:space="preserve"> darbības termiņš līdz 2018.gada 1.maijam, lai nezustu kontrole par makšķerēšanu un zivju resursu aizsardzību un uzskaiti, </w:t>
            </w:r>
            <w:r>
              <w:t xml:space="preserve">būtu nepieciešams iepriekš minētā nolikuma darbības termiņā pagarināšana </w:t>
            </w:r>
            <w:r>
              <w:rPr>
                <w:bCs/>
              </w:rPr>
              <w:t xml:space="preserve">līdz 2018.gada 1.jūlijam vai, kamēr tiek apstiprināts jaunais nolikums. </w:t>
            </w:r>
            <w:r w:rsidRPr="001E5E5A">
              <w:rPr>
                <w:bCs/>
              </w:rPr>
              <w:t>Atbilstoši iepriekš minēto Ministru kabineta noteikumu 10.punkt</w:t>
            </w:r>
            <w:r>
              <w:rPr>
                <w:bCs/>
              </w:rPr>
              <w:t>am</w:t>
            </w:r>
            <w:r w:rsidRPr="001E5E5A">
              <w:rPr>
                <w:bCs/>
              </w:rPr>
              <w:t xml:space="preserve"> ir veikta nolikuma</w:t>
            </w:r>
            <w:r>
              <w:rPr>
                <w:bCs/>
              </w:rPr>
              <w:t xml:space="preserve"> darbības termiņa pagarinājuma</w:t>
            </w:r>
            <w:r w:rsidRPr="001E5E5A">
              <w:rPr>
                <w:bCs/>
              </w:rPr>
              <w:t xml:space="preserve"> saskaņošana ar attiecīgajām iestādēm. </w:t>
            </w:r>
          </w:p>
        </w:tc>
      </w:tr>
      <w:tr w:rsidR="001E5E5A" w:rsidRPr="001E5E5A" w:rsidTr="00BF2C25">
        <w:trPr>
          <w:cantSplit/>
          <w:trHeight w:val="121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A" w:rsidRPr="001E5E5A" w:rsidRDefault="001E5E5A" w:rsidP="001E5E5A">
            <w:pPr>
              <w:numPr>
                <w:ilvl w:val="0"/>
                <w:numId w:val="11"/>
              </w:numPr>
              <w:tabs>
                <w:tab w:val="left" w:pos="318"/>
              </w:tabs>
              <w:ind w:left="318" w:hanging="284"/>
              <w:rPr>
                <w:bCs/>
              </w:rPr>
            </w:pPr>
            <w:r w:rsidRPr="001E5E5A">
              <w:rPr>
                <w:bCs/>
              </w:rPr>
              <w:t>Īss projekta satura izklāsts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0A5F61">
            <w:pPr>
              <w:ind w:right="33"/>
              <w:jc w:val="both"/>
              <w:rPr>
                <w:bCs/>
              </w:rPr>
            </w:pPr>
            <w:r w:rsidRPr="001E5E5A">
              <w:rPr>
                <w:bCs/>
              </w:rPr>
              <w:t xml:space="preserve">Saistošie noteikumi nosaka </w:t>
            </w:r>
            <w:r w:rsidR="000A5F61" w:rsidRPr="007D7E2D">
              <w:rPr>
                <w:bCs/>
              </w:rPr>
              <w:t>Nolikum</w:t>
            </w:r>
            <w:r w:rsidR="000A5F61">
              <w:rPr>
                <w:bCs/>
              </w:rPr>
              <w:t>a par</w:t>
            </w:r>
            <w:r w:rsidR="000A5F61" w:rsidRPr="007D7E2D">
              <w:rPr>
                <w:bCs/>
              </w:rPr>
              <w:t xml:space="preserve"> licencēto makšķerēšanu Katvaru ezerā 2015. – 2018.gadam</w:t>
            </w:r>
            <w:r w:rsidR="000A5F61">
              <w:rPr>
                <w:bCs/>
              </w:rPr>
              <w:t xml:space="preserve"> darbības termiņu.</w:t>
            </w:r>
          </w:p>
        </w:tc>
      </w:tr>
      <w:tr w:rsidR="001E5E5A" w:rsidRPr="001E5E5A" w:rsidTr="00BF2C2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1E5E5A">
            <w:pPr>
              <w:numPr>
                <w:ilvl w:val="0"/>
                <w:numId w:val="11"/>
              </w:numPr>
              <w:tabs>
                <w:tab w:val="left" w:pos="318"/>
              </w:tabs>
              <w:ind w:left="318" w:hanging="284"/>
              <w:rPr>
                <w:bCs/>
              </w:rPr>
            </w:pPr>
            <w:r w:rsidRPr="001E5E5A">
              <w:rPr>
                <w:bCs/>
              </w:rPr>
              <w:lastRenderedPageBreak/>
              <w:t>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2D1DFB">
            <w:pPr>
              <w:rPr>
                <w:bCs/>
                <w:color w:val="FF0000"/>
              </w:rPr>
            </w:pPr>
            <w:r w:rsidRPr="001E5E5A">
              <w:rPr>
                <w:bCs/>
              </w:rPr>
              <w:t>Nav attiecināms.</w:t>
            </w:r>
          </w:p>
        </w:tc>
      </w:tr>
      <w:tr w:rsidR="001E5E5A" w:rsidRPr="001E5E5A" w:rsidTr="00BF2C2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1E5E5A">
            <w:pPr>
              <w:numPr>
                <w:ilvl w:val="0"/>
                <w:numId w:val="11"/>
              </w:numPr>
              <w:tabs>
                <w:tab w:val="left" w:pos="318"/>
              </w:tabs>
              <w:ind w:left="318" w:hanging="284"/>
              <w:rPr>
                <w:bCs/>
              </w:rPr>
            </w:pPr>
            <w:r w:rsidRPr="001E5E5A">
              <w:rPr>
                <w:bCs/>
              </w:rPr>
              <w:t>Informācija par plānoto projekta ietekmi uz uzņēmējdarbības vidi pašvaldības teritorijā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2D1DFB">
            <w:pPr>
              <w:rPr>
                <w:bCs/>
              </w:rPr>
            </w:pPr>
            <w:r w:rsidRPr="001E5E5A">
              <w:rPr>
                <w:bCs/>
              </w:rPr>
              <w:t>Nav attiecināms.</w:t>
            </w:r>
          </w:p>
        </w:tc>
      </w:tr>
      <w:tr w:rsidR="001E5E5A" w:rsidRPr="001E5E5A" w:rsidTr="00BF2C2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1E5E5A">
            <w:pPr>
              <w:numPr>
                <w:ilvl w:val="0"/>
                <w:numId w:val="11"/>
              </w:numPr>
              <w:tabs>
                <w:tab w:val="left" w:pos="318"/>
              </w:tabs>
              <w:ind w:left="318" w:hanging="284"/>
              <w:rPr>
                <w:bCs/>
              </w:rPr>
            </w:pPr>
            <w:r w:rsidRPr="001E5E5A">
              <w:rPr>
                <w:bCs/>
              </w:rPr>
              <w:t>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E5A" w:rsidRPr="001E5E5A" w:rsidRDefault="001E5E5A" w:rsidP="002D1DFB">
            <w:pPr>
              <w:rPr>
                <w:bCs/>
              </w:rPr>
            </w:pPr>
            <w:r w:rsidRPr="001E5E5A">
              <w:rPr>
                <w:bCs/>
              </w:rPr>
              <w:t>Noteikumu piemērošanā jāvēršas biedrībā “Katvaru ezers”.</w:t>
            </w:r>
          </w:p>
        </w:tc>
      </w:tr>
    </w:tbl>
    <w:p w:rsidR="000104B9" w:rsidRDefault="000104B9" w:rsidP="00A576CC">
      <w:pPr>
        <w:keepNext/>
        <w:jc w:val="center"/>
        <w:outlineLvl w:val="1"/>
        <w:rPr>
          <w:b/>
          <w:bCs/>
          <w:caps/>
        </w:rPr>
      </w:pPr>
    </w:p>
    <w:p w:rsidR="001E5E5A" w:rsidRPr="001E5E5A" w:rsidRDefault="001E5E5A" w:rsidP="00A576CC">
      <w:pPr>
        <w:keepNext/>
        <w:jc w:val="center"/>
        <w:outlineLvl w:val="1"/>
        <w:rPr>
          <w:b/>
          <w:bCs/>
          <w:caps/>
        </w:rPr>
      </w:pPr>
    </w:p>
    <w:p w:rsidR="00BF2C25" w:rsidRDefault="001E5E5A" w:rsidP="001E5E5A">
      <w:pPr>
        <w:tabs>
          <w:tab w:val="left" w:pos="567"/>
          <w:tab w:val="left" w:pos="8222"/>
        </w:tabs>
        <w:autoSpaceDE w:val="0"/>
        <w:autoSpaceDN w:val="0"/>
        <w:adjustRightInd w:val="0"/>
        <w:jc w:val="both"/>
        <w:rPr>
          <w:bCs/>
        </w:rPr>
      </w:pPr>
      <w:r w:rsidRPr="001E5E5A">
        <w:rPr>
          <w:bCs/>
        </w:rPr>
        <w:t xml:space="preserve">Limbažu novada </w:t>
      </w:r>
      <w:r w:rsidR="00BF2C25">
        <w:rPr>
          <w:bCs/>
        </w:rPr>
        <w:t>pašvaldības</w:t>
      </w:r>
    </w:p>
    <w:p w:rsidR="00A576CC" w:rsidRPr="00FC0086" w:rsidRDefault="00BF2C25" w:rsidP="00A8166B">
      <w:pPr>
        <w:tabs>
          <w:tab w:val="left" w:pos="567"/>
          <w:tab w:val="left" w:pos="8222"/>
        </w:tabs>
        <w:autoSpaceDE w:val="0"/>
        <w:autoSpaceDN w:val="0"/>
        <w:adjustRightInd w:val="0"/>
        <w:jc w:val="both"/>
      </w:pPr>
      <w:r>
        <w:rPr>
          <w:bCs/>
        </w:rPr>
        <w:t>D</w:t>
      </w:r>
      <w:r w:rsidR="001E5E5A" w:rsidRPr="001E5E5A">
        <w:rPr>
          <w:bCs/>
        </w:rPr>
        <w:t>omes priekšsēdētājs</w:t>
      </w:r>
      <w:r w:rsidR="001E5E5A" w:rsidRPr="001E5E5A">
        <w:rPr>
          <w:bCs/>
        </w:rPr>
        <w:tab/>
        <w:t>D.Zemmers</w:t>
      </w:r>
    </w:p>
    <w:sectPr w:rsidR="00A576CC" w:rsidRPr="00FC0086" w:rsidSect="00BF2C2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7A" w:rsidRDefault="0082597A" w:rsidP="00BF2C25">
      <w:r>
        <w:separator/>
      </w:r>
    </w:p>
  </w:endnote>
  <w:endnote w:type="continuationSeparator" w:id="0">
    <w:p w:rsidR="0082597A" w:rsidRDefault="0082597A" w:rsidP="00BF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7A" w:rsidRDefault="0082597A" w:rsidP="00BF2C25">
      <w:r>
        <w:separator/>
      </w:r>
    </w:p>
  </w:footnote>
  <w:footnote w:type="continuationSeparator" w:id="0">
    <w:p w:rsidR="0082597A" w:rsidRDefault="0082597A" w:rsidP="00BF2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101714"/>
      <w:docPartObj>
        <w:docPartGallery w:val="Page Numbers (Top of Page)"/>
        <w:docPartUnique/>
      </w:docPartObj>
    </w:sdtPr>
    <w:sdtContent>
      <w:p w:rsidR="00BF2C25" w:rsidRDefault="00BF2C2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F2C25" w:rsidRDefault="00BF2C2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577B41CD"/>
    <w:multiLevelType w:val="multilevel"/>
    <w:tmpl w:val="9C46A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126322C"/>
    <w:multiLevelType w:val="hybridMultilevel"/>
    <w:tmpl w:val="DEF28B90"/>
    <w:lvl w:ilvl="0" w:tplc="2F2E48D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0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104B9"/>
    <w:rsid w:val="000A5F61"/>
    <w:rsid w:val="000C2715"/>
    <w:rsid w:val="000E7B91"/>
    <w:rsid w:val="000F1D91"/>
    <w:rsid w:val="00131BDF"/>
    <w:rsid w:val="001809B9"/>
    <w:rsid w:val="001A0DEF"/>
    <w:rsid w:val="001E5E5A"/>
    <w:rsid w:val="002837E3"/>
    <w:rsid w:val="002A7CA9"/>
    <w:rsid w:val="002E6859"/>
    <w:rsid w:val="00303741"/>
    <w:rsid w:val="00306DBF"/>
    <w:rsid w:val="00310F44"/>
    <w:rsid w:val="003507D1"/>
    <w:rsid w:val="003560CD"/>
    <w:rsid w:val="0035787D"/>
    <w:rsid w:val="00382648"/>
    <w:rsid w:val="00390010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56F03"/>
    <w:rsid w:val="00586DE8"/>
    <w:rsid w:val="005E3A61"/>
    <w:rsid w:val="005F562C"/>
    <w:rsid w:val="006178AD"/>
    <w:rsid w:val="006B1911"/>
    <w:rsid w:val="006C0B32"/>
    <w:rsid w:val="0074449D"/>
    <w:rsid w:val="00752748"/>
    <w:rsid w:val="00764CBC"/>
    <w:rsid w:val="00783D7C"/>
    <w:rsid w:val="00794708"/>
    <w:rsid w:val="007A4F1A"/>
    <w:rsid w:val="007D7E2D"/>
    <w:rsid w:val="007E538A"/>
    <w:rsid w:val="00805189"/>
    <w:rsid w:val="0082597A"/>
    <w:rsid w:val="00832F94"/>
    <w:rsid w:val="00836278"/>
    <w:rsid w:val="008845DB"/>
    <w:rsid w:val="0089614F"/>
    <w:rsid w:val="008A43B7"/>
    <w:rsid w:val="008D3016"/>
    <w:rsid w:val="0094441C"/>
    <w:rsid w:val="00963765"/>
    <w:rsid w:val="009841CE"/>
    <w:rsid w:val="009A2A99"/>
    <w:rsid w:val="009A3096"/>
    <w:rsid w:val="009A6D06"/>
    <w:rsid w:val="009C5718"/>
    <w:rsid w:val="00A576CC"/>
    <w:rsid w:val="00A8003C"/>
    <w:rsid w:val="00A8166B"/>
    <w:rsid w:val="00AA3D66"/>
    <w:rsid w:val="00AA428B"/>
    <w:rsid w:val="00AD16F6"/>
    <w:rsid w:val="00AD34CF"/>
    <w:rsid w:val="00AD5C82"/>
    <w:rsid w:val="00B04CA0"/>
    <w:rsid w:val="00B30246"/>
    <w:rsid w:val="00B5206E"/>
    <w:rsid w:val="00B57353"/>
    <w:rsid w:val="00B76F63"/>
    <w:rsid w:val="00BC540B"/>
    <w:rsid w:val="00BF2C25"/>
    <w:rsid w:val="00C22F76"/>
    <w:rsid w:val="00C46B49"/>
    <w:rsid w:val="00C82D14"/>
    <w:rsid w:val="00C97367"/>
    <w:rsid w:val="00CF4DE7"/>
    <w:rsid w:val="00D443B0"/>
    <w:rsid w:val="00D51F31"/>
    <w:rsid w:val="00DE0FC1"/>
    <w:rsid w:val="00DF2CA0"/>
    <w:rsid w:val="00E4657B"/>
    <w:rsid w:val="00E50F1C"/>
    <w:rsid w:val="00E76E56"/>
    <w:rsid w:val="00E813D9"/>
    <w:rsid w:val="00E96758"/>
    <w:rsid w:val="00ED0C0B"/>
    <w:rsid w:val="00EF303B"/>
    <w:rsid w:val="00F6682D"/>
    <w:rsid w:val="00F72604"/>
    <w:rsid w:val="00F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2A295-89A6-47E4-A366-20BB3FAD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sts1">
    <w:name w:val="Parasts1"/>
    <w:rsid w:val="00764CB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764CBC"/>
  </w:style>
  <w:style w:type="paragraph" w:styleId="Balonteksts">
    <w:name w:val="Balloon Text"/>
    <w:basedOn w:val="Parasts"/>
    <w:link w:val="BalontekstsRakstz"/>
    <w:uiPriority w:val="99"/>
    <w:semiHidden/>
    <w:unhideWhenUsed/>
    <w:rsid w:val="009637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63765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BF2C2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F2C2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F2C2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F2C2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A58D-7C00-4270-AD7F-F69E8684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30</cp:revision>
  <cp:lastPrinted>2018-05-30T13:06:00Z</cp:lastPrinted>
  <dcterms:created xsi:type="dcterms:W3CDTF">2018-05-14T12:49:00Z</dcterms:created>
  <dcterms:modified xsi:type="dcterms:W3CDTF">2018-05-30T13:07:00Z</dcterms:modified>
</cp:coreProperties>
</file>