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65" w:rsidRPr="00C11B65" w:rsidRDefault="00C11B65" w:rsidP="00C11B65">
      <w:pPr>
        <w:tabs>
          <w:tab w:val="left" w:pos="8931"/>
        </w:tabs>
        <w:suppressAutoHyphens/>
        <w:jc w:val="center"/>
        <w:rPr>
          <w:caps/>
          <w:lang w:eastAsia="zh-CN"/>
        </w:rPr>
      </w:pPr>
      <w:bookmarkStart w:id="0" w:name="_GoBack"/>
      <w:bookmarkEnd w:id="0"/>
      <w:r w:rsidRPr="00C11B65">
        <w:rPr>
          <w:lang w:eastAsia="zh-CN"/>
        </w:rPr>
        <w:t>Limbažos</w:t>
      </w:r>
    </w:p>
    <w:p w:rsidR="00C11B65" w:rsidRPr="00C11B65" w:rsidRDefault="00C11B65" w:rsidP="00C11B65">
      <w:pPr>
        <w:tabs>
          <w:tab w:val="left" w:pos="8931"/>
        </w:tabs>
        <w:suppressAutoHyphens/>
        <w:jc w:val="right"/>
        <w:rPr>
          <w:lang w:eastAsia="zh-CN"/>
        </w:rPr>
      </w:pPr>
      <w:r w:rsidRPr="00C11B65">
        <w:rPr>
          <w:b/>
          <w:caps/>
          <w:lang w:eastAsia="zh-CN"/>
        </w:rPr>
        <w:t>Apstiprināts</w:t>
      </w:r>
    </w:p>
    <w:p w:rsidR="00C11B65" w:rsidRPr="00C11B65" w:rsidRDefault="00C11B65" w:rsidP="00C11B65">
      <w:pPr>
        <w:tabs>
          <w:tab w:val="left" w:pos="8931"/>
        </w:tabs>
        <w:suppressAutoHyphens/>
        <w:jc w:val="right"/>
        <w:rPr>
          <w:lang w:eastAsia="zh-CN"/>
        </w:rPr>
      </w:pPr>
      <w:r w:rsidRPr="00C11B65">
        <w:rPr>
          <w:lang w:eastAsia="zh-CN"/>
        </w:rPr>
        <w:t xml:space="preserve">ar Limbažu novada domes </w:t>
      </w:r>
    </w:p>
    <w:p w:rsidR="00C11B65" w:rsidRPr="00C11B65" w:rsidRDefault="00C11B65" w:rsidP="00C11B65">
      <w:pPr>
        <w:tabs>
          <w:tab w:val="left" w:pos="8931"/>
        </w:tabs>
        <w:suppressAutoHyphens/>
        <w:jc w:val="right"/>
        <w:rPr>
          <w:lang w:eastAsia="zh-CN"/>
        </w:rPr>
      </w:pPr>
      <w:r w:rsidRPr="00C11B65">
        <w:rPr>
          <w:lang w:eastAsia="zh-CN"/>
        </w:rPr>
        <w:t xml:space="preserve">26.04.2018. sēdes lēmumu </w:t>
      </w:r>
    </w:p>
    <w:p w:rsidR="00C11B65" w:rsidRPr="00C11B65" w:rsidRDefault="00C11B65" w:rsidP="00C11B65">
      <w:pPr>
        <w:tabs>
          <w:tab w:val="left" w:pos="8931"/>
        </w:tabs>
        <w:suppressAutoHyphens/>
        <w:jc w:val="right"/>
        <w:rPr>
          <w:sz w:val="20"/>
          <w:szCs w:val="20"/>
          <w:lang w:eastAsia="zh-CN"/>
        </w:rPr>
      </w:pPr>
      <w:r w:rsidRPr="00C11B65">
        <w:rPr>
          <w:lang w:eastAsia="zh-CN"/>
        </w:rPr>
        <w:t>(protokols Nr.8, 58.§)</w:t>
      </w:r>
    </w:p>
    <w:p w:rsidR="00C11B65" w:rsidRDefault="00C11B65" w:rsidP="00C11B65">
      <w:pPr>
        <w:suppressAutoHyphens/>
        <w:autoSpaceDE w:val="0"/>
        <w:jc w:val="right"/>
        <w:rPr>
          <w:rFonts w:eastAsia="Calibri"/>
          <w:i/>
          <w:iCs/>
          <w:color w:val="000000"/>
          <w:lang w:eastAsia="zh-CN"/>
        </w:rPr>
      </w:pPr>
    </w:p>
    <w:p w:rsidR="00AC54D0" w:rsidRDefault="00AC54D0" w:rsidP="00C11B65">
      <w:pPr>
        <w:suppressAutoHyphens/>
        <w:autoSpaceDE w:val="0"/>
        <w:jc w:val="right"/>
        <w:rPr>
          <w:rFonts w:eastAsia="Calibri"/>
          <w:i/>
          <w:iCs/>
          <w:color w:val="000000"/>
          <w:lang w:eastAsia="zh-CN"/>
        </w:rPr>
      </w:pPr>
      <w:r>
        <w:rPr>
          <w:rFonts w:eastAsia="Calibri"/>
          <w:i/>
          <w:iCs/>
          <w:color w:val="000000"/>
          <w:lang w:eastAsia="zh-CN"/>
        </w:rPr>
        <w:t xml:space="preserve">GROZĪJUMI izdarīti ar </w:t>
      </w:r>
    </w:p>
    <w:p w:rsidR="00AC54D0" w:rsidRPr="00C11B65" w:rsidRDefault="00AC54D0" w:rsidP="00C11B65">
      <w:pPr>
        <w:suppressAutoHyphens/>
        <w:autoSpaceDE w:val="0"/>
        <w:jc w:val="right"/>
        <w:rPr>
          <w:rFonts w:eastAsia="Calibri"/>
          <w:i/>
          <w:iCs/>
          <w:color w:val="000000"/>
          <w:lang w:eastAsia="zh-CN"/>
        </w:rPr>
      </w:pPr>
      <w:r>
        <w:rPr>
          <w:rFonts w:eastAsia="Calibri"/>
          <w:i/>
          <w:iCs/>
          <w:color w:val="000000"/>
          <w:lang w:eastAsia="zh-CN"/>
        </w:rPr>
        <w:t>Limbažu novada domes 26.03.2020. sēdes lēmumu (protokols Nr.8, 42.§)</w:t>
      </w:r>
    </w:p>
    <w:p w:rsidR="00AC54D0" w:rsidRDefault="00AC54D0" w:rsidP="00C11B65">
      <w:pPr>
        <w:suppressAutoHyphens/>
        <w:autoSpaceDE w:val="0"/>
        <w:jc w:val="center"/>
        <w:rPr>
          <w:rFonts w:eastAsia="Calibri"/>
          <w:b/>
          <w:bCs/>
          <w:color w:val="000000"/>
          <w:lang w:eastAsia="zh-CN"/>
        </w:rPr>
      </w:pPr>
    </w:p>
    <w:p w:rsidR="00C11B65" w:rsidRPr="00C11B65" w:rsidRDefault="00C11B65" w:rsidP="00C11B65">
      <w:pPr>
        <w:suppressAutoHyphens/>
        <w:autoSpaceDE w:val="0"/>
        <w:jc w:val="center"/>
        <w:rPr>
          <w:rFonts w:eastAsia="Calibri"/>
          <w:b/>
          <w:bCs/>
          <w:color w:val="000000"/>
          <w:lang w:eastAsia="zh-CN"/>
        </w:rPr>
      </w:pPr>
      <w:r w:rsidRPr="00C11B65">
        <w:rPr>
          <w:rFonts w:eastAsia="Calibri"/>
          <w:b/>
          <w:bCs/>
          <w:color w:val="000000"/>
          <w:lang w:eastAsia="zh-CN"/>
        </w:rPr>
        <w:t>LIMBAŽU MŪZIKAS UN MĀKSLAS SKOLAS</w:t>
      </w:r>
    </w:p>
    <w:p w:rsidR="00C11B65" w:rsidRPr="00C11B65" w:rsidRDefault="00C11B65" w:rsidP="00C11B65">
      <w:pPr>
        <w:suppressAutoHyphens/>
        <w:autoSpaceDE w:val="0"/>
        <w:jc w:val="center"/>
        <w:rPr>
          <w:rFonts w:eastAsia="Calibri"/>
          <w:color w:val="000000"/>
          <w:lang w:eastAsia="zh-CN"/>
        </w:rPr>
      </w:pPr>
      <w:r w:rsidRPr="00C11B65">
        <w:rPr>
          <w:rFonts w:eastAsia="Calibri"/>
          <w:b/>
          <w:bCs/>
          <w:color w:val="000000"/>
          <w:lang w:eastAsia="zh-CN"/>
        </w:rPr>
        <w:t xml:space="preserve"> NOLIKUMS</w:t>
      </w:r>
    </w:p>
    <w:p w:rsidR="00C11B65" w:rsidRPr="00C11B65" w:rsidRDefault="00C11B65" w:rsidP="00C11B65">
      <w:pPr>
        <w:suppressAutoHyphens/>
        <w:autoSpaceDE w:val="0"/>
        <w:jc w:val="center"/>
        <w:rPr>
          <w:rFonts w:eastAsia="Calibri"/>
          <w:b/>
          <w:bCs/>
          <w:color w:val="000000"/>
          <w:lang w:eastAsia="zh-CN"/>
        </w:rPr>
      </w:pPr>
    </w:p>
    <w:p w:rsidR="00C11B65" w:rsidRPr="00C11B65" w:rsidRDefault="00C11B65" w:rsidP="00C11B65">
      <w:pPr>
        <w:suppressAutoHyphens/>
        <w:autoSpaceDE w:val="0"/>
        <w:jc w:val="right"/>
        <w:rPr>
          <w:rFonts w:eastAsia="Calibri"/>
          <w:i/>
          <w:color w:val="000000"/>
          <w:sz w:val="22"/>
          <w:szCs w:val="22"/>
          <w:lang w:eastAsia="zh-CN"/>
        </w:rPr>
      </w:pPr>
      <w:r w:rsidRPr="00C11B65">
        <w:rPr>
          <w:rFonts w:eastAsia="Calibri"/>
          <w:i/>
          <w:color w:val="000000"/>
          <w:sz w:val="22"/>
          <w:szCs w:val="22"/>
          <w:lang w:eastAsia="zh-CN"/>
        </w:rPr>
        <w:t xml:space="preserve">Izdots saskaņā ar </w:t>
      </w:r>
    </w:p>
    <w:p w:rsidR="00C11B65" w:rsidRPr="00C11B65" w:rsidRDefault="00C11B65" w:rsidP="00C11B65">
      <w:pPr>
        <w:suppressAutoHyphens/>
        <w:autoSpaceDE w:val="0"/>
        <w:jc w:val="right"/>
        <w:rPr>
          <w:rFonts w:eastAsia="Calibri"/>
          <w:i/>
          <w:color w:val="000000"/>
          <w:sz w:val="22"/>
          <w:szCs w:val="22"/>
          <w:lang w:eastAsia="zh-CN"/>
        </w:rPr>
      </w:pPr>
      <w:r w:rsidRPr="00C11B65">
        <w:rPr>
          <w:rFonts w:eastAsia="Calibri"/>
          <w:i/>
          <w:color w:val="000000"/>
          <w:sz w:val="22"/>
          <w:szCs w:val="22"/>
          <w:lang w:eastAsia="zh-CN"/>
        </w:rPr>
        <w:t xml:space="preserve">Izglītības likuma 22.panta pirmo daļu, </w:t>
      </w:r>
    </w:p>
    <w:p w:rsidR="00C11B65" w:rsidRPr="00C11B65" w:rsidRDefault="00C11B65" w:rsidP="00C11B65">
      <w:pPr>
        <w:suppressAutoHyphens/>
        <w:autoSpaceDE w:val="0"/>
        <w:jc w:val="right"/>
        <w:rPr>
          <w:rFonts w:eastAsia="Calibri"/>
          <w:i/>
          <w:color w:val="000000"/>
          <w:sz w:val="22"/>
          <w:szCs w:val="22"/>
          <w:lang w:eastAsia="zh-CN"/>
        </w:rPr>
      </w:pPr>
      <w:r w:rsidRPr="00C11B65">
        <w:rPr>
          <w:rFonts w:eastAsia="Calibri"/>
          <w:i/>
          <w:color w:val="000000"/>
          <w:sz w:val="22"/>
          <w:szCs w:val="22"/>
          <w:lang w:eastAsia="zh-CN"/>
        </w:rPr>
        <w:t xml:space="preserve">Profesionālās izglītības likuma 15.panta pirmo daļu </w:t>
      </w:r>
    </w:p>
    <w:p w:rsidR="00C11B65" w:rsidRPr="00C11B65" w:rsidRDefault="00C11B65" w:rsidP="00C11B65">
      <w:pPr>
        <w:suppressAutoHyphens/>
        <w:autoSpaceDE w:val="0"/>
        <w:jc w:val="right"/>
        <w:rPr>
          <w:rFonts w:eastAsia="Calibri"/>
          <w:i/>
          <w:iCs/>
          <w:color w:val="000000"/>
          <w:lang w:eastAsia="zh-CN"/>
        </w:rPr>
      </w:pPr>
    </w:p>
    <w:p w:rsidR="00C11B65" w:rsidRPr="00C11B65" w:rsidRDefault="00C11B65" w:rsidP="00C11B65">
      <w:pPr>
        <w:suppressAutoHyphens/>
        <w:autoSpaceDE w:val="0"/>
        <w:jc w:val="right"/>
        <w:rPr>
          <w:rFonts w:eastAsia="Calibri"/>
          <w:i/>
          <w:iCs/>
          <w:color w:val="000000"/>
          <w:lang w:eastAsia="zh-CN"/>
        </w:rPr>
      </w:pPr>
    </w:p>
    <w:p w:rsidR="00C11B65" w:rsidRPr="00C11B65" w:rsidRDefault="00C11B65" w:rsidP="00C11B65">
      <w:pPr>
        <w:suppressAutoHyphens/>
        <w:autoSpaceDE w:val="0"/>
        <w:jc w:val="center"/>
        <w:rPr>
          <w:rFonts w:eastAsia="Calibri"/>
          <w:color w:val="000000"/>
          <w:lang w:eastAsia="zh-CN"/>
        </w:rPr>
      </w:pPr>
      <w:r w:rsidRPr="00C11B65">
        <w:rPr>
          <w:rFonts w:eastAsia="Calibri"/>
          <w:b/>
          <w:bCs/>
          <w:color w:val="000000"/>
          <w:lang w:eastAsia="zh-CN"/>
        </w:rPr>
        <w:t>I. Vispārīgie jautājumi</w:t>
      </w:r>
    </w:p>
    <w:p w:rsidR="00C11B65" w:rsidRPr="00C11B65" w:rsidRDefault="00C11B65" w:rsidP="00C11B65">
      <w:pPr>
        <w:numPr>
          <w:ilvl w:val="0"/>
          <w:numId w:val="2"/>
        </w:numPr>
        <w:suppressAutoHyphens/>
        <w:autoSpaceDE w:val="0"/>
        <w:ind w:left="426" w:hanging="426"/>
        <w:jc w:val="both"/>
        <w:rPr>
          <w:rFonts w:eastAsia="Calibri"/>
          <w:lang w:eastAsia="zh-CN"/>
        </w:rPr>
      </w:pPr>
      <w:r w:rsidRPr="00C11B65">
        <w:rPr>
          <w:rFonts w:eastAsia="Calibri"/>
          <w:bCs/>
          <w:color w:val="000000"/>
          <w:lang w:eastAsia="zh-CN"/>
        </w:rPr>
        <w:t xml:space="preserve">Limbažu </w:t>
      </w:r>
      <w:r w:rsidRPr="00C11B65">
        <w:rPr>
          <w:rFonts w:eastAsia="Calibri"/>
          <w:bCs/>
          <w:lang w:eastAsia="zh-CN"/>
        </w:rPr>
        <w:t>Mūzikas un mākslas</w:t>
      </w:r>
      <w:r w:rsidRPr="00C11B65">
        <w:rPr>
          <w:rFonts w:eastAsia="Calibri"/>
          <w:bCs/>
          <w:color w:val="FF0000"/>
          <w:lang w:eastAsia="zh-CN"/>
        </w:rPr>
        <w:t xml:space="preserve"> </w:t>
      </w:r>
      <w:r w:rsidRPr="00C11B65">
        <w:rPr>
          <w:rFonts w:eastAsia="Calibri"/>
          <w:bCs/>
          <w:color w:val="000000"/>
          <w:lang w:eastAsia="zh-CN"/>
        </w:rPr>
        <w:t>skola</w:t>
      </w:r>
      <w:r w:rsidRPr="00C11B65">
        <w:rPr>
          <w:rFonts w:eastAsia="Calibri"/>
          <w:b/>
          <w:bCs/>
          <w:color w:val="000000"/>
          <w:lang w:eastAsia="zh-CN"/>
        </w:rPr>
        <w:t xml:space="preserve"> </w:t>
      </w:r>
      <w:r w:rsidRPr="00C11B65">
        <w:rPr>
          <w:rFonts w:eastAsia="Calibri"/>
          <w:color w:val="000000"/>
          <w:lang w:eastAsia="zh-CN"/>
        </w:rPr>
        <w:t xml:space="preserve">(turpmāk – Iestāde) ir Limbažu novada domes (turpmāk – Dibinātājs) dibināta mūzikas un mākslas profesionālās ievirzes izglītības iestāde, kura īsteno profesionālās ievirzes </w:t>
      </w:r>
      <w:r w:rsidRPr="00C11B65">
        <w:rPr>
          <w:rFonts w:eastAsia="Calibri"/>
          <w:lang w:eastAsia="zh-CN"/>
        </w:rPr>
        <w:t>licencētas un akreditētas izglītības programmas:</w:t>
      </w:r>
    </w:p>
    <w:p w:rsidR="00C11B65" w:rsidRPr="00C11B65" w:rsidRDefault="00C11B65" w:rsidP="00C11B65">
      <w:pPr>
        <w:numPr>
          <w:ilvl w:val="0"/>
          <w:numId w:val="2"/>
        </w:numPr>
        <w:suppressAutoHyphens/>
        <w:autoSpaceDE w:val="0"/>
        <w:ind w:left="426" w:hanging="426"/>
        <w:jc w:val="both"/>
        <w:rPr>
          <w:rFonts w:eastAsia="Calibri"/>
          <w:color w:val="000000"/>
          <w:lang w:eastAsia="zh-CN"/>
        </w:rPr>
      </w:pPr>
      <w:r w:rsidRPr="00C11B65">
        <w:rPr>
          <w:rFonts w:eastAsia="Calibri"/>
          <w:color w:val="000000"/>
          <w:lang w:eastAsia="zh-CN"/>
        </w:rPr>
        <w:t>I</w:t>
      </w:r>
      <w:r w:rsidRPr="00C11B65">
        <w:rPr>
          <w:rFonts w:eastAsia="Calibri"/>
          <w:bCs/>
          <w:color w:val="000000"/>
          <w:lang w:eastAsia="zh-CN"/>
        </w:rPr>
        <w:t>estādes</w:t>
      </w:r>
      <w:r w:rsidRPr="00C11B65">
        <w:rPr>
          <w:rFonts w:eastAsia="Calibri"/>
          <w:color w:val="000000"/>
          <w:lang w:eastAsia="zh-CN"/>
        </w:rPr>
        <w:t xml:space="preserve"> darbības tiesiskais pamats ir Izglītības likums, Profesionālās izglītības likums, citi normatīvie akti, kā arī dibinātāja izdotie tiesību akti un šis nolikums. </w:t>
      </w:r>
    </w:p>
    <w:p w:rsidR="00C11B65" w:rsidRPr="00C11B65" w:rsidRDefault="00C11B65" w:rsidP="00C11B65">
      <w:pPr>
        <w:numPr>
          <w:ilvl w:val="0"/>
          <w:numId w:val="2"/>
        </w:numPr>
        <w:suppressAutoHyphens/>
        <w:autoSpaceDE w:val="0"/>
        <w:ind w:left="426" w:hanging="426"/>
        <w:jc w:val="both"/>
        <w:rPr>
          <w:rFonts w:eastAsia="Calibri"/>
          <w:color w:val="000000"/>
          <w:lang w:eastAsia="zh-CN"/>
        </w:rPr>
      </w:pPr>
      <w:r w:rsidRPr="00C11B65">
        <w:rPr>
          <w:rFonts w:eastAsia="Calibri"/>
          <w:color w:val="000000"/>
          <w:lang w:eastAsia="zh-CN"/>
        </w:rPr>
        <w:t>Iestāde ir pastarpinātas pārvaldes iestāde. Iestādei var būt sava simbolika (karogs, logo) un zīmogs, ko tā izmanto normatīvajos aktos noteiktā kārtībā.</w:t>
      </w:r>
    </w:p>
    <w:p w:rsidR="00C11B65" w:rsidRPr="00C11B65" w:rsidRDefault="00C11B65" w:rsidP="00C11B65">
      <w:pPr>
        <w:numPr>
          <w:ilvl w:val="0"/>
          <w:numId w:val="2"/>
        </w:numPr>
        <w:suppressAutoHyphens/>
        <w:autoSpaceDE w:val="0"/>
        <w:ind w:left="426" w:hanging="426"/>
        <w:jc w:val="both"/>
        <w:rPr>
          <w:rFonts w:eastAsia="Calibri"/>
          <w:color w:val="000000"/>
          <w:lang w:eastAsia="zh-CN"/>
        </w:rPr>
      </w:pPr>
      <w:r w:rsidRPr="00C11B65">
        <w:rPr>
          <w:rFonts w:eastAsia="Calibri"/>
          <w:color w:val="000000"/>
          <w:lang w:eastAsia="zh-CN"/>
        </w:rPr>
        <w:t xml:space="preserve">Iestāde ir Limbažu novada pašvaldības (turpmāk – pašvaldība) padotībā un Limbažu novada pašvaldības Izglītības un kultūras nodaļas pārraudzībā. Iestāde saimniecisko jautājumu risināšanā sadarbojas ar Limbažu pilsētas un pašvaldības īpašumu apsaimniekošanas nodaļu. </w:t>
      </w:r>
    </w:p>
    <w:p w:rsidR="00C11B65" w:rsidRPr="00C11B65" w:rsidRDefault="00C11B65" w:rsidP="00C11B65">
      <w:pPr>
        <w:numPr>
          <w:ilvl w:val="0"/>
          <w:numId w:val="2"/>
        </w:numPr>
        <w:suppressAutoHyphens/>
        <w:autoSpaceDE w:val="0"/>
        <w:ind w:left="426" w:hanging="426"/>
        <w:jc w:val="both"/>
        <w:rPr>
          <w:rFonts w:eastAsia="Calibri"/>
          <w:lang w:eastAsia="zh-CN"/>
        </w:rPr>
      </w:pPr>
      <w:r w:rsidRPr="00C11B65">
        <w:rPr>
          <w:rFonts w:eastAsia="Calibri"/>
          <w:color w:val="000000"/>
          <w:lang w:eastAsia="zh-CN"/>
        </w:rPr>
        <w:t>I</w:t>
      </w:r>
      <w:r w:rsidRPr="00C11B65">
        <w:rPr>
          <w:rFonts w:eastAsia="Calibri"/>
          <w:bCs/>
          <w:color w:val="000000"/>
          <w:lang w:eastAsia="zh-CN"/>
        </w:rPr>
        <w:t>estādes</w:t>
      </w:r>
      <w:r w:rsidRPr="00C11B65">
        <w:rPr>
          <w:rFonts w:eastAsia="Calibri"/>
          <w:color w:val="000000"/>
          <w:lang w:eastAsia="zh-CN"/>
        </w:rPr>
        <w:t xml:space="preserve"> juridiskā adrese ir </w:t>
      </w:r>
      <w:r w:rsidRPr="00C11B65">
        <w:rPr>
          <w:rFonts w:eastAsia="Calibri"/>
          <w:lang w:eastAsia="zh-CN"/>
        </w:rPr>
        <w:t>Parka iela 16, Limbaži, Limbažu novads, LV-4001.</w:t>
      </w:r>
    </w:p>
    <w:p w:rsidR="00C11B65" w:rsidRPr="00C11B65" w:rsidRDefault="00C11B65" w:rsidP="00C11B65">
      <w:pPr>
        <w:suppressAutoHyphens/>
        <w:ind w:left="425"/>
        <w:jc w:val="both"/>
        <w:rPr>
          <w:szCs w:val="20"/>
          <w:lang w:eastAsia="zh-CN"/>
        </w:rPr>
      </w:pPr>
      <w:r w:rsidRPr="00C11B65">
        <w:rPr>
          <w:szCs w:val="20"/>
          <w:lang w:eastAsia="zh-CN"/>
        </w:rPr>
        <w:t xml:space="preserve">5.1. Iestādes izglītības programmu īstenošana tiek nodrošināta šādās adresēs: </w:t>
      </w:r>
    </w:p>
    <w:p w:rsidR="00C11B65" w:rsidRPr="00C11B65" w:rsidRDefault="00C11B65" w:rsidP="00C11B65">
      <w:pPr>
        <w:suppressAutoHyphens/>
        <w:ind w:left="851"/>
        <w:jc w:val="both"/>
        <w:rPr>
          <w:szCs w:val="20"/>
          <w:lang w:eastAsia="zh-CN"/>
        </w:rPr>
      </w:pPr>
      <w:r w:rsidRPr="00C11B65">
        <w:rPr>
          <w:szCs w:val="20"/>
          <w:lang w:eastAsia="zh-CN"/>
        </w:rPr>
        <w:t xml:space="preserve">5.1.1. Parka ielā 16, Limbažos, Limbažu  novadā, LV-4001; </w:t>
      </w:r>
    </w:p>
    <w:p w:rsidR="00C11B65" w:rsidRDefault="00C11B65" w:rsidP="00C11B65">
      <w:pPr>
        <w:suppressAutoHyphens/>
        <w:ind w:left="851"/>
        <w:jc w:val="both"/>
        <w:rPr>
          <w:szCs w:val="20"/>
          <w:lang w:eastAsia="zh-CN"/>
        </w:rPr>
      </w:pPr>
      <w:r w:rsidRPr="00C11B65">
        <w:rPr>
          <w:szCs w:val="20"/>
          <w:lang w:eastAsia="zh-CN"/>
        </w:rPr>
        <w:t>5.1.2. Jūras ielā 27, Limbažos, Limbažu novadā, LV</w:t>
      </w:r>
      <w:r w:rsidRPr="00C11B65">
        <w:rPr>
          <w:szCs w:val="20"/>
          <w:lang w:eastAsia="zh-CN"/>
        </w:rPr>
        <w:noBreakHyphen/>
        <w:t>4001.</w:t>
      </w:r>
    </w:p>
    <w:p w:rsidR="00AC54D0" w:rsidRPr="00AC54D0" w:rsidRDefault="00AC54D0" w:rsidP="00AC54D0">
      <w:pPr>
        <w:suppressAutoHyphens/>
        <w:ind w:left="425"/>
        <w:jc w:val="both"/>
        <w:rPr>
          <w:i/>
          <w:szCs w:val="20"/>
          <w:lang w:eastAsia="zh-CN"/>
        </w:rPr>
      </w:pPr>
      <w:r w:rsidRPr="00AC54D0">
        <w:rPr>
          <w:i/>
          <w:szCs w:val="20"/>
          <w:lang w:eastAsia="zh-CN"/>
        </w:rPr>
        <w:t>(grozījumi izdarīti ar Limbažu novada domes 26.03.2020. sēdes lēmumu (protokols Nr.8, 42.§)</w:t>
      </w:r>
    </w:p>
    <w:p w:rsidR="00C11B65" w:rsidRPr="00C11B65" w:rsidRDefault="00C11B65" w:rsidP="00C11B65">
      <w:pPr>
        <w:numPr>
          <w:ilvl w:val="0"/>
          <w:numId w:val="2"/>
        </w:numPr>
        <w:suppressAutoHyphens/>
        <w:ind w:left="426" w:hanging="426"/>
        <w:contextualSpacing/>
        <w:jc w:val="both"/>
        <w:rPr>
          <w:bCs/>
          <w:szCs w:val="20"/>
          <w:lang w:eastAsia="zh-CN"/>
        </w:rPr>
      </w:pPr>
      <w:r w:rsidRPr="00C11B65">
        <w:rPr>
          <w:szCs w:val="20"/>
          <w:lang w:eastAsia="zh-CN"/>
        </w:rPr>
        <w:t>Dibinātāja juridiskā adrese: Rīgas iela 16, Limbaži, Limbažu novads, LV-4001.</w:t>
      </w:r>
    </w:p>
    <w:p w:rsidR="00C11B65" w:rsidRPr="00C11B65" w:rsidRDefault="00C11B65" w:rsidP="00C11B65">
      <w:pPr>
        <w:suppressAutoHyphens/>
        <w:autoSpaceDE w:val="0"/>
        <w:jc w:val="center"/>
        <w:rPr>
          <w:rFonts w:eastAsia="Calibri"/>
          <w:bCs/>
          <w:lang w:eastAsia="zh-CN"/>
        </w:rPr>
      </w:pPr>
    </w:p>
    <w:p w:rsidR="00C11B65" w:rsidRPr="00C11B65" w:rsidRDefault="00C11B65" w:rsidP="00C11B65">
      <w:pPr>
        <w:suppressAutoHyphens/>
        <w:autoSpaceDE w:val="0"/>
        <w:jc w:val="center"/>
        <w:rPr>
          <w:rFonts w:eastAsia="Calibri"/>
          <w:color w:val="000000"/>
          <w:lang w:eastAsia="zh-CN"/>
        </w:rPr>
      </w:pPr>
      <w:r w:rsidRPr="00C11B65">
        <w:rPr>
          <w:rFonts w:eastAsia="Calibri"/>
          <w:b/>
          <w:bCs/>
          <w:lang w:eastAsia="zh-CN"/>
        </w:rPr>
        <w:t xml:space="preserve">II. </w:t>
      </w:r>
      <w:r w:rsidRPr="00C11B65">
        <w:rPr>
          <w:rFonts w:eastAsia="Calibri"/>
          <w:b/>
          <w:bCs/>
          <w:color w:val="000000"/>
          <w:lang w:eastAsia="zh-CN"/>
        </w:rPr>
        <w:t>Iestādes</w:t>
      </w:r>
      <w:r w:rsidRPr="00C11B65">
        <w:rPr>
          <w:rFonts w:eastAsia="Calibri"/>
          <w:b/>
          <w:color w:val="000000"/>
          <w:lang w:eastAsia="zh-CN"/>
        </w:rPr>
        <w:t xml:space="preserve"> darbības mērķi, pamatvirziens un uzdevumi</w:t>
      </w:r>
    </w:p>
    <w:p w:rsidR="00C11B65" w:rsidRPr="00C11B65" w:rsidRDefault="00C11B65" w:rsidP="00C11B65">
      <w:pPr>
        <w:numPr>
          <w:ilvl w:val="0"/>
          <w:numId w:val="2"/>
        </w:numPr>
        <w:suppressAutoHyphens/>
        <w:autoSpaceDE w:val="0"/>
        <w:ind w:left="426" w:hanging="426"/>
        <w:jc w:val="both"/>
        <w:rPr>
          <w:rFonts w:eastAsia="Calibri"/>
          <w:lang w:eastAsia="zh-CN"/>
        </w:rPr>
      </w:pPr>
      <w:r w:rsidRPr="00C11B65">
        <w:rPr>
          <w:rFonts w:eastAsia="Calibri"/>
          <w:lang w:eastAsia="zh-CN"/>
        </w:rPr>
        <w:t>Iestādes darbības mērķi:</w:t>
      </w:r>
    </w:p>
    <w:p w:rsidR="00C11B65" w:rsidRPr="00C11B65" w:rsidRDefault="00C11B65" w:rsidP="00C11B65">
      <w:pPr>
        <w:suppressAutoHyphens/>
        <w:autoSpaceDE w:val="0"/>
        <w:ind w:left="425"/>
        <w:jc w:val="both"/>
        <w:rPr>
          <w:rFonts w:eastAsia="Calibri"/>
          <w:lang w:eastAsia="zh-CN"/>
        </w:rPr>
      </w:pPr>
      <w:r w:rsidRPr="00C11B65">
        <w:rPr>
          <w:rFonts w:eastAsia="Calibri"/>
          <w:lang w:eastAsia="zh-CN"/>
        </w:rPr>
        <w:t xml:space="preserve">7.1. nodrošināt sistematizētu zināšanu un prasmju apguvi, veicinot </w:t>
      </w:r>
      <w:proofErr w:type="spellStart"/>
      <w:r w:rsidRPr="00C11B65">
        <w:rPr>
          <w:rFonts w:eastAsia="Calibri"/>
          <w:lang w:eastAsia="zh-CN"/>
        </w:rPr>
        <w:t>vērtīborientācijas</w:t>
      </w:r>
      <w:proofErr w:type="spellEnd"/>
      <w:r w:rsidRPr="00C11B65">
        <w:rPr>
          <w:rFonts w:eastAsia="Calibri"/>
          <w:lang w:eastAsia="zh-CN"/>
        </w:rPr>
        <w:t xml:space="preserve"> veidošanos mūzikā un mākslā, kas dod iespēju sagatavoties profesionālās izglītības ieguvei izraudzītajā virzienā;</w:t>
      </w:r>
    </w:p>
    <w:p w:rsidR="00C11B65" w:rsidRPr="00C11B65" w:rsidRDefault="00C11B65" w:rsidP="00C11B65">
      <w:pPr>
        <w:suppressAutoHyphens/>
        <w:autoSpaceDE w:val="0"/>
        <w:ind w:left="425"/>
        <w:jc w:val="both"/>
        <w:rPr>
          <w:rFonts w:eastAsia="Calibri"/>
          <w:lang w:eastAsia="zh-CN"/>
        </w:rPr>
      </w:pPr>
      <w:r w:rsidRPr="00C11B65">
        <w:rPr>
          <w:rFonts w:eastAsia="Calibri"/>
          <w:lang w:eastAsia="zh-CN"/>
        </w:rPr>
        <w:lastRenderedPageBreak/>
        <w:t>7.2. veidot izglītības vidi, organizēt un īstenot izglītību, kas nodrošinātu profesionālās ievirzes mūzikas un mākslas izglītības programmās noteikto mērķu sasniegšanu.</w:t>
      </w:r>
    </w:p>
    <w:p w:rsidR="00C11B65" w:rsidRPr="00C11B65" w:rsidRDefault="00C11B65" w:rsidP="00C11B65">
      <w:pPr>
        <w:numPr>
          <w:ilvl w:val="0"/>
          <w:numId w:val="2"/>
        </w:numPr>
        <w:suppressAutoHyphens/>
        <w:autoSpaceDE w:val="0"/>
        <w:ind w:left="426" w:hanging="426"/>
        <w:jc w:val="both"/>
        <w:rPr>
          <w:rFonts w:eastAsia="Calibri"/>
          <w:lang w:eastAsia="zh-CN"/>
        </w:rPr>
      </w:pPr>
      <w:r w:rsidRPr="00C11B65">
        <w:rPr>
          <w:rFonts w:eastAsia="Calibri"/>
          <w:lang w:eastAsia="zh-CN"/>
        </w:rPr>
        <w:t>Iestādes darbības pamatvirziens ir izglītojoša, kultūras un audzinoša darbība.</w:t>
      </w:r>
    </w:p>
    <w:p w:rsidR="00C11B65" w:rsidRPr="00C11B65" w:rsidRDefault="00C11B65" w:rsidP="00C11B65">
      <w:pPr>
        <w:numPr>
          <w:ilvl w:val="0"/>
          <w:numId w:val="2"/>
        </w:numPr>
        <w:suppressAutoHyphens/>
        <w:autoSpaceDE w:val="0"/>
        <w:ind w:left="426" w:hanging="426"/>
        <w:jc w:val="both"/>
        <w:rPr>
          <w:rFonts w:eastAsia="Calibri"/>
          <w:lang w:eastAsia="zh-CN"/>
        </w:rPr>
      </w:pPr>
      <w:r w:rsidRPr="00C11B65">
        <w:rPr>
          <w:rFonts w:eastAsia="Calibri"/>
          <w:lang w:eastAsia="zh-CN"/>
        </w:rPr>
        <w:t xml:space="preserve">Iestādes uzdevumi ir: </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 xml:space="preserve">9.1. īstenot normatīvajos aktos noteiktā kārtībā licencētas un akreditētas profesionālās ievirzes mūzikas un mākslas izglītības programmas, nodrošinot iespēju iegūt profesionālās ievirzes izglītības </w:t>
      </w:r>
      <w:proofErr w:type="spellStart"/>
      <w:r w:rsidRPr="00C11B65">
        <w:rPr>
          <w:rFonts w:eastAsia="Calibri"/>
          <w:lang w:eastAsia="zh-CN"/>
        </w:rPr>
        <w:t>pamatzināšanas</w:t>
      </w:r>
      <w:proofErr w:type="spellEnd"/>
      <w:r w:rsidRPr="00C11B65">
        <w:rPr>
          <w:rFonts w:eastAsia="Calibri"/>
          <w:lang w:eastAsia="zh-CN"/>
        </w:rPr>
        <w:t xml:space="preserve"> un prasmes mūzikā un mākslā; </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9.2. sekmēt mākslinieciskās darbības pieredzi un attīstīt jaunrades spējas, radot atbilstošus priekšnosacījumus izglītojamo radošai izaugsmei;</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 xml:space="preserve">9.3. veidot drošu izglītības vidi, organizēt un īstenot izglītības procesu, kas nodrošinātu profesionālās ievirzes mūzikas un mākslas izglītības programmās noteikto mērķu sasniegšanu; </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9.4. sekmēt pozitīvas, sociāli aktīvas un atbildīgas attieksmes veidošanos izglītojamajam pašam pret sevi, sabiedrību, apkārtējo vidi un Latvijas valsti;</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9.5. racionāli un efektīvi izmantot izglītībai atvēlētos finanšu, materiālos un personāla resursus;</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9.6. sadarboties ar izglītojamo likumiskajiem pārstāvjiem (turpmāk – vecākiem), lai nodrošinātu izglītības programmu apguvi;</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9.7.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C11B65" w:rsidRPr="00C11B65" w:rsidRDefault="00C11B65" w:rsidP="00C11B65">
      <w:pPr>
        <w:suppressAutoHyphens/>
        <w:autoSpaceDE w:val="0"/>
        <w:ind w:left="426"/>
        <w:jc w:val="both"/>
        <w:rPr>
          <w:rFonts w:eastAsia="Calibri"/>
          <w:lang w:eastAsia="zh-CN"/>
        </w:rPr>
      </w:pPr>
      <w:r w:rsidRPr="00C11B65">
        <w:rPr>
          <w:rFonts w:eastAsia="Calibri"/>
          <w:lang w:eastAsia="zh-CN"/>
        </w:rPr>
        <w:t>9.8.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C11B65" w:rsidRPr="00C11B65" w:rsidRDefault="00C11B65" w:rsidP="00C11B65">
      <w:pPr>
        <w:suppressAutoHyphens/>
        <w:autoSpaceDE w:val="0"/>
        <w:jc w:val="both"/>
        <w:rPr>
          <w:rFonts w:eastAsia="Calibri"/>
          <w:lang w:eastAsia="zh-CN"/>
        </w:rPr>
      </w:pPr>
    </w:p>
    <w:p w:rsidR="00C11B65" w:rsidRPr="00C11B65" w:rsidRDefault="00C11B65" w:rsidP="00C11B65">
      <w:pPr>
        <w:suppressAutoHyphens/>
        <w:autoSpaceDE w:val="0"/>
        <w:jc w:val="center"/>
        <w:rPr>
          <w:rFonts w:eastAsia="Calibri"/>
          <w:color w:val="000000"/>
          <w:lang w:eastAsia="zh-CN"/>
        </w:rPr>
      </w:pPr>
      <w:r w:rsidRPr="00C11B65">
        <w:rPr>
          <w:rFonts w:eastAsia="Calibri"/>
          <w:b/>
          <w:bCs/>
          <w:lang w:eastAsia="zh-CN"/>
        </w:rPr>
        <w:t xml:space="preserve">III. </w:t>
      </w:r>
      <w:r w:rsidRPr="00C11B65">
        <w:rPr>
          <w:rFonts w:eastAsia="Calibri"/>
          <w:b/>
          <w:color w:val="000000"/>
          <w:lang w:eastAsia="zh-CN"/>
        </w:rPr>
        <w:t>Iestādē</w:t>
      </w:r>
      <w:r w:rsidRPr="00C11B65">
        <w:rPr>
          <w:rFonts w:eastAsia="Calibri"/>
          <w:color w:val="000000"/>
          <w:lang w:eastAsia="zh-CN"/>
        </w:rPr>
        <w:t xml:space="preserve"> </w:t>
      </w:r>
      <w:r w:rsidRPr="00C11B65">
        <w:rPr>
          <w:rFonts w:eastAsia="Calibri"/>
          <w:b/>
          <w:color w:val="000000"/>
          <w:lang w:eastAsia="zh-CN"/>
        </w:rPr>
        <w:t>īstenojamās izglītības programmas</w:t>
      </w:r>
    </w:p>
    <w:p w:rsidR="00C11B65" w:rsidRPr="00C11B65" w:rsidRDefault="00C11B65" w:rsidP="00C11B65">
      <w:pPr>
        <w:numPr>
          <w:ilvl w:val="0"/>
          <w:numId w:val="2"/>
        </w:numPr>
        <w:suppressAutoHyphens/>
        <w:ind w:left="426" w:hanging="426"/>
        <w:jc w:val="both"/>
        <w:rPr>
          <w:bCs/>
          <w:szCs w:val="20"/>
          <w:lang w:eastAsia="zh-CN"/>
        </w:rPr>
      </w:pPr>
      <w:r w:rsidRPr="00C11B65">
        <w:rPr>
          <w:bCs/>
          <w:szCs w:val="20"/>
          <w:lang w:eastAsia="zh-CN"/>
        </w:rPr>
        <w:t xml:space="preserve">Iestāde īsteno </w:t>
      </w:r>
      <w:r w:rsidRPr="00C11B65">
        <w:rPr>
          <w:szCs w:val="20"/>
          <w:lang w:eastAsia="zh-CN"/>
        </w:rPr>
        <w:t>normatīvajos aktos noteiktā kārtībā licencētas un akreditētas profesionālās ievirzes mūzikas un mākslas izglītības programmas:</w:t>
      </w:r>
    </w:p>
    <w:p w:rsidR="00C11B65" w:rsidRPr="00C11B65" w:rsidRDefault="00C11B65" w:rsidP="00C11B65">
      <w:pPr>
        <w:suppressAutoHyphens/>
        <w:ind w:left="397"/>
        <w:jc w:val="both"/>
        <w:rPr>
          <w:bCs/>
          <w:szCs w:val="20"/>
          <w:lang w:eastAsia="zh-CN"/>
        </w:rPr>
      </w:pPr>
      <w:r w:rsidRPr="00C11B65">
        <w:rPr>
          <w:bCs/>
          <w:szCs w:val="20"/>
          <w:lang w:eastAsia="zh-CN"/>
        </w:rPr>
        <w:t>10.1. mākslā: Vizuāli plastiskā māksla 20V211001;</w:t>
      </w:r>
    </w:p>
    <w:p w:rsidR="00C11B65" w:rsidRPr="00C11B65" w:rsidRDefault="00C11B65" w:rsidP="00C11B65">
      <w:pPr>
        <w:suppressAutoHyphens/>
        <w:ind w:left="397"/>
        <w:jc w:val="both"/>
        <w:rPr>
          <w:bCs/>
          <w:szCs w:val="20"/>
          <w:lang w:eastAsia="zh-CN"/>
        </w:rPr>
      </w:pPr>
      <w:r w:rsidRPr="00C11B65">
        <w:rPr>
          <w:bCs/>
          <w:szCs w:val="20"/>
          <w:lang w:eastAsia="zh-CN"/>
        </w:rPr>
        <w:t>10.2. mūzikā:</w:t>
      </w:r>
    </w:p>
    <w:p w:rsidR="00C11B65" w:rsidRPr="00C11B65" w:rsidRDefault="00C11B65" w:rsidP="00C11B65">
      <w:pPr>
        <w:suppressAutoHyphens/>
        <w:ind w:left="907"/>
        <w:jc w:val="both"/>
        <w:rPr>
          <w:bCs/>
          <w:szCs w:val="20"/>
          <w:lang w:eastAsia="zh-CN"/>
        </w:rPr>
      </w:pPr>
      <w:r w:rsidRPr="00C11B65">
        <w:rPr>
          <w:bCs/>
          <w:szCs w:val="20"/>
          <w:lang w:eastAsia="zh-CN"/>
        </w:rPr>
        <w:t>10.2.1. Klavierspēle 20V 212 01 1;</w:t>
      </w:r>
    </w:p>
    <w:p w:rsidR="00C11B65" w:rsidRPr="00C11B65" w:rsidRDefault="00C11B65" w:rsidP="00C11B65">
      <w:pPr>
        <w:suppressAutoHyphens/>
        <w:ind w:left="907"/>
        <w:jc w:val="both"/>
        <w:rPr>
          <w:bCs/>
          <w:szCs w:val="20"/>
          <w:lang w:eastAsia="zh-CN"/>
        </w:rPr>
      </w:pPr>
      <w:r w:rsidRPr="00C11B65">
        <w:rPr>
          <w:bCs/>
          <w:szCs w:val="20"/>
          <w:lang w:eastAsia="zh-CN"/>
        </w:rPr>
        <w:t>10.2.2. Akordeona spēle 20V 212 01 1;</w:t>
      </w:r>
    </w:p>
    <w:p w:rsidR="00C11B65" w:rsidRPr="00C11B65" w:rsidRDefault="00C11B65" w:rsidP="00C11B65">
      <w:pPr>
        <w:suppressAutoHyphens/>
        <w:ind w:left="907"/>
        <w:jc w:val="both"/>
        <w:rPr>
          <w:bCs/>
          <w:szCs w:val="20"/>
          <w:lang w:eastAsia="zh-CN"/>
        </w:rPr>
      </w:pPr>
      <w:r w:rsidRPr="00C11B65">
        <w:rPr>
          <w:bCs/>
          <w:szCs w:val="20"/>
          <w:lang w:eastAsia="zh-CN"/>
        </w:rPr>
        <w:t>10.2.3. Vijoļspēle 20V 212 02 1;</w:t>
      </w:r>
    </w:p>
    <w:p w:rsidR="00C11B65" w:rsidRPr="00C11B65" w:rsidRDefault="00C11B65" w:rsidP="00C11B65">
      <w:pPr>
        <w:suppressAutoHyphens/>
        <w:ind w:left="907"/>
        <w:jc w:val="both"/>
        <w:rPr>
          <w:bCs/>
          <w:szCs w:val="20"/>
          <w:lang w:eastAsia="zh-CN"/>
        </w:rPr>
      </w:pPr>
      <w:r w:rsidRPr="00C11B65">
        <w:rPr>
          <w:bCs/>
          <w:szCs w:val="20"/>
          <w:lang w:eastAsia="zh-CN"/>
        </w:rPr>
        <w:t>10.2.4. Čella spēle 20V 212 02 ;</w:t>
      </w:r>
    </w:p>
    <w:p w:rsidR="00C11B65" w:rsidRPr="00C11B65" w:rsidRDefault="00C11B65" w:rsidP="00C11B65">
      <w:pPr>
        <w:suppressAutoHyphens/>
        <w:ind w:left="907"/>
        <w:jc w:val="both"/>
        <w:rPr>
          <w:bCs/>
          <w:szCs w:val="20"/>
          <w:lang w:eastAsia="zh-CN"/>
        </w:rPr>
      </w:pPr>
      <w:r w:rsidRPr="00C11B65">
        <w:rPr>
          <w:bCs/>
          <w:szCs w:val="20"/>
          <w:lang w:eastAsia="zh-CN"/>
        </w:rPr>
        <w:t>10.2.5. Ģitāras spēle 20V 212 02 1;</w:t>
      </w:r>
    </w:p>
    <w:p w:rsidR="00C11B65" w:rsidRPr="00C11B65" w:rsidRDefault="00C11B65" w:rsidP="00C11B65">
      <w:pPr>
        <w:suppressAutoHyphens/>
        <w:ind w:left="907"/>
        <w:jc w:val="both"/>
        <w:rPr>
          <w:bCs/>
          <w:szCs w:val="20"/>
          <w:lang w:eastAsia="zh-CN"/>
        </w:rPr>
      </w:pPr>
      <w:r w:rsidRPr="00C11B65">
        <w:rPr>
          <w:bCs/>
          <w:szCs w:val="20"/>
          <w:lang w:eastAsia="zh-CN"/>
        </w:rPr>
        <w:t>10.2.6. Kokles spēle 20V 212 02 1;</w:t>
      </w:r>
    </w:p>
    <w:p w:rsidR="00C11B65" w:rsidRPr="00C11B65" w:rsidRDefault="00C11B65" w:rsidP="00C11B65">
      <w:pPr>
        <w:suppressAutoHyphens/>
        <w:ind w:left="907"/>
        <w:jc w:val="both"/>
        <w:rPr>
          <w:bCs/>
          <w:szCs w:val="20"/>
          <w:lang w:eastAsia="zh-CN"/>
        </w:rPr>
      </w:pPr>
      <w:r w:rsidRPr="00C11B65">
        <w:rPr>
          <w:bCs/>
          <w:szCs w:val="20"/>
          <w:lang w:eastAsia="zh-CN"/>
        </w:rPr>
        <w:t>10.2.7. Flautas spēle 20V 212 03 1;</w:t>
      </w:r>
    </w:p>
    <w:p w:rsidR="00C11B65" w:rsidRPr="00C11B65" w:rsidRDefault="00C11B65" w:rsidP="00C11B65">
      <w:pPr>
        <w:suppressAutoHyphens/>
        <w:ind w:left="907"/>
        <w:jc w:val="both"/>
        <w:rPr>
          <w:bCs/>
          <w:szCs w:val="20"/>
          <w:lang w:eastAsia="zh-CN"/>
        </w:rPr>
      </w:pPr>
      <w:r w:rsidRPr="00C11B65">
        <w:rPr>
          <w:bCs/>
          <w:szCs w:val="20"/>
          <w:lang w:eastAsia="zh-CN"/>
        </w:rPr>
        <w:t>10.2.8. Saksofona spēle 20V 212 03 1;</w:t>
      </w:r>
    </w:p>
    <w:p w:rsidR="00C11B65" w:rsidRPr="00C11B65" w:rsidRDefault="00C11B65" w:rsidP="00C11B65">
      <w:pPr>
        <w:suppressAutoHyphens/>
        <w:ind w:left="907"/>
        <w:jc w:val="both"/>
        <w:rPr>
          <w:bCs/>
          <w:szCs w:val="20"/>
          <w:lang w:eastAsia="zh-CN"/>
        </w:rPr>
      </w:pPr>
      <w:r w:rsidRPr="00C11B65">
        <w:rPr>
          <w:bCs/>
          <w:szCs w:val="20"/>
          <w:lang w:eastAsia="zh-CN"/>
        </w:rPr>
        <w:t>10.2.9. Klarnetes spēle 20V 212 03 1;</w:t>
      </w:r>
    </w:p>
    <w:p w:rsidR="00C11B65" w:rsidRPr="00C11B65" w:rsidRDefault="00C11B65" w:rsidP="00C11B65">
      <w:pPr>
        <w:suppressAutoHyphens/>
        <w:ind w:left="907"/>
        <w:jc w:val="both"/>
        <w:rPr>
          <w:bCs/>
          <w:szCs w:val="20"/>
          <w:lang w:eastAsia="zh-CN"/>
        </w:rPr>
      </w:pPr>
      <w:r w:rsidRPr="00C11B65">
        <w:rPr>
          <w:bCs/>
          <w:szCs w:val="20"/>
          <w:lang w:eastAsia="zh-CN"/>
        </w:rPr>
        <w:t>10.2.10. Trompetes spēle 20V 212 03 1;</w:t>
      </w:r>
    </w:p>
    <w:p w:rsidR="00C11B65" w:rsidRPr="00C11B65" w:rsidRDefault="00C11B65" w:rsidP="00C11B65">
      <w:pPr>
        <w:suppressAutoHyphens/>
        <w:ind w:left="907"/>
        <w:jc w:val="both"/>
        <w:rPr>
          <w:bCs/>
          <w:szCs w:val="20"/>
          <w:lang w:eastAsia="zh-CN"/>
        </w:rPr>
      </w:pPr>
      <w:r w:rsidRPr="00C11B65">
        <w:rPr>
          <w:bCs/>
          <w:szCs w:val="20"/>
          <w:lang w:eastAsia="zh-CN"/>
        </w:rPr>
        <w:t>10.2.11. Mežraga spēle 20V 212 03 1;</w:t>
      </w:r>
    </w:p>
    <w:p w:rsidR="00C11B65" w:rsidRPr="00C11B65" w:rsidRDefault="00C11B65" w:rsidP="00C11B65">
      <w:pPr>
        <w:suppressAutoHyphens/>
        <w:ind w:left="907"/>
        <w:jc w:val="both"/>
        <w:rPr>
          <w:bCs/>
          <w:szCs w:val="20"/>
          <w:lang w:eastAsia="zh-CN"/>
        </w:rPr>
      </w:pPr>
      <w:r w:rsidRPr="00C11B65">
        <w:rPr>
          <w:bCs/>
          <w:szCs w:val="20"/>
          <w:lang w:eastAsia="zh-CN"/>
        </w:rPr>
        <w:t>10.2.12. Eifonija spēle 20V 212 03 1;</w:t>
      </w:r>
    </w:p>
    <w:p w:rsidR="00C11B65" w:rsidRPr="00C11B65" w:rsidRDefault="00C11B65" w:rsidP="00C11B65">
      <w:pPr>
        <w:suppressAutoHyphens/>
        <w:ind w:left="907"/>
        <w:jc w:val="both"/>
        <w:rPr>
          <w:bCs/>
          <w:szCs w:val="20"/>
          <w:lang w:eastAsia="zh-CN"/>
        </w:rPr>
      </w:pPr>
      <w:r w:rsidRPr="00C11B65">
        <w:rPr>
          <w:bCs/>
          <w:szCs w:val="20"/>
          <w:lang w:eastAsia="zh-CN"/>
        </w:rPr>
        <w:t>10.2.13. Trombona spēle 20V 212 03 1.</w:t>
      </w:r>
    </w:p>
    <w:p w:rsidR="00C11B65" w:rsidRPr="00C11B65" w:rsidRDefault="00C11B65" w:rsidP="00C11B65">
      <w:pPr>
        <w:numPr>
          <w:ilvl w:val="0"/>
          <w:numId w:val="2"/>
        </w:numPr>
        <w:suppressAutoHyphens/>
        <w:ind w:left="426" w:hanging="426"/>
        <w:jc w:val="both"/>
        <w:rPr>
          <w:bCs/>
          <w:szCs w:val="20"/>
          <w:lang w:eastAsia="zh-CN"/>
        </w:rPr>
      </w:pPr>
      <w:r w:rsidRPr="00C11B65">
        <w:rPr>
          <w:lang w:eastAsia="zh-CN"/>
        </w:rPr>
        <w:t xml:space="preserve">Iestāde var īstenot arī interešu izglītības un mūžizglītības programmas, tās saskaņojot ar Dibinātāju. Iestādes programmu licencēšana saskaņojama ar Dibinātāju. </w:t>
      </w:r>
    </w:p>
    <w:p w:rsidR="00C11B65" w:rsidRPr="00C11B65" w:rsidRDefault="00C11B65" w:rsidP="00C11B65">
      <w:pPr>
        <w:numPr>
          <w:ilvl w:val="0"/>
          <w:numId w:val="2"/>
        </w:numPr>
        <w:suppressAutoHyphens/>
        <w:ind w:left="426" w:hanging="426"/>
        <w:jc w:val="both"/>
        <w:rPr>
          <w:bCs/>
          <w:sz w:val="32"/>
          <w:szCs w:val="20"/>
          <w:lang w:eastAsia="zh-CN"/>
        </w:rPr>
      </w:pPr>
      <w:r w:rsidRPr="00C11B65">
        <w:rPr>
          <w:bCs/>
          <w:szCs w:val="20"/>
          <w:lang w:eastAsia="zh-CN"/>
        </w:rPr>
        <w:t>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Dibinātāju.</w:t>
      </w:r>
    </w:p>
    <w:p w:rsidR="00C11B65" w:rsidRPr="00C11B65" w:rsidRDefault="00C11B65" w:rsidP="00C11B65">
      <w:pPr>
        <w:suppressAutoHyphens/>
        <w:autoSpaceDE w:val="0"/>
        <w:ind w:left="360"/>
        <w:jc w:val="center"/>
        <w:rPr>
          <w:rFonts w:eastAsia="Calibri"/>
          <w:b/>
          <w:bCs/>
          <w:lang w:eastAsia="zh-CN"/>
        </w:rPr>
      </w:pPr>
    </w:p>
    <w:p w:rsidR="00C11B65" w:rsidRPr="00C11B65" w:rsidRDefault="00C11B65" w:rsidP="00C11B65">
      <w:pPr>
        <w:suppressAutoHyphens/>
        <w:autoSpaceDE w:val="0"/>
        <w:ind w:left="360"/>
        <w:jc w:val="center"/>
        <w:rPr>
          <w:rFonts w:eastAsia="Calibri"/>
          <w:color w:val="000000"/>
          <w:lang w:eastAsia="zh-CN"/>
        </w:rPr>
      </w:pPr>
      <w:r w:rsidRPr="00C11B65">
        <w:rPr>
          <w:rFonts w:eastAsia="Calibri"/>
          <w:b/>
          <w:bCs/>
          <w:lang w:eastAsia="zh-CN"/>
        </w:rPr>
        <w:t>IV. Izglītības procesa organizācija</w:t>
      </w:r>
    </w:p>
    <w:p w:rsidR="00C11B65" w:rsidRPr="00C11B65" w:rsidRDefault="00C11B65" w:rsidP="00C11B65">
      <w:pPr>
        <w:numPr>
          <w:ilvl w:val="0"/>
          <w:numId w:val="2"/>
        </w:numPr>
        <w:suppressAutoHyphens/>
        <w:ind w:left="426" w:hanging="426"/>
        <w:jc w:val="both"/>
        <w:rPr>
          <w:bCs/>
          <w:sz w:val="32"/>
          <w:szCs w:val="20"/>
          <w:lang w:eastAsia="zh-CN"/>
        </w:rPr>
      </w:pPr>
      <w:r w:rsidRPr="00C11B65">
        <w:rPr>
          <w:szCs w:val="20"/>
          <w:lang w:eastAsia="zh-CN"/>
        </w:rPr>
        <w:t>Izglītības procesa organizāciju iestādē nosaka Izglītības likums, Profesionālās izglītības likums, citi ārējie normatīvie akti, šis nolikums, Darba kārtības noteikumi, Iekšējās kārtības noteikumi un citi iestādes iekšējie normatīvie akti.</w:t>
      </w:r>
    </w:p>
    <w:p w:rsidR="00C11B65" w:rsidRPr="00C11B65" w:rsidRDefault="00C11B65" w:rsidP="00C11B65">
      <w:pPr>
        <w:numPr>
          <w:ilvl w:val="0"/>
          <w:numId w:val="2"/>
        </w:numPr>
        <w:shd w:val="clear" w:color="auto" w:fill="FFFFFF"/>
        <w:suppressAutoHyphens/>
        <w:ind w:left="426" w:hanging="426"/>
        <w:jc w:val="both"/>
        <w:rPr>
          <w:szCs w:val="20"/>
        </w:rPr>
      </w:pPr>
      <w:r w:rsidRPr="00C11B65">
        <w:rPr>
          <w:szCs w:val="20"/>
        </w:rPr>
        <w:lastRenderedPageBreak/>
        <w:t>Izglītības process iestādē ietver izglītības programmu īstenošanu, izglītojamo audzināšanu un metodisko darbu.</w:t>
      </w:r>
    </w:p>
    <w:p w:rsidR="00C11B65" w:rsidRPr="00C11B65" w:rsidRDefault="00C11B65" w:rsidP="00C11B65">
      <w:pPr>
        <w:numPr>
          <w:ilvl w:val="0"/>
          <w:numId w:val="2"/>
        </w:numPr>
        <w:shd w:val="clear" w:color="auto" w:fill="FFFFFF"/>
        <w:suppressAutoHyphens/>
        <w:ind w:left="426" w:hanging="426"/>
        <w:jc w:val="both"/>
        <w:rPr>
          <w:sz w:val="32"/>
          <w:szCs w:val="20"/>
        </w:rPr>
      </w:pPr>
      <w:r w:rsidRPr="00C11B65">
        <w:rPr>
          <w:szCs w:val="20"/>
          <w:lang w:eastAsia="zh-CN"/>
        </w:rPr>
        <w:t xml:space="preserve">Izglītojamo uzņemšana </w:t>
      </w:r>
      <w:r w:rsidRPr="00C11B65">
        <w:rPr>
          <w:bCs/>
          <w:szCs w:val="20"/>
          <w:lang w:eastAsia="zh-CN"/>
        </w:rPr>
        <w:t xml:space="preserve">iestādē, </w:t>
      </w:r>
      <w:r w:rsidRPr="00C11B65">
        <w:rPr>
          <w:szCs w:val="20"/>
          <w:lang w:eastAsia="zh-CN"/>
        </w:rPr>
        <w:t>pārcelšana nākamajā klasē un atskaitīšana no iestādes notiek saskaņā ar iestādes iekšējiem noteikumiem, kas saskaņoti ar dibinātāju, ievērojot Profesionālās izglītības likumā un citos normatīvajos aktos noteiktās prasības.</w:t>
      </w:r>
    </w:p>
    <w:p w:rsidR="00C11B65" w:rsidRPr="00C11B65" w:rsidRDefault="00C11B65" w:rsidP="00C11B65">
      <w:pPr>
        <w:numPr>
          <w:ilvl w:val="0"/>
          <w:numId w:val="2"/>
        </w:numPr>
        <w:suppressAutoHyphens/>
        <w:ind w:left="426" w:hanging="426"/>
        <w:jc w:val="both"/>
        <w:rPr>
          <w:szCs w:val="20"/>
          <w:lang w:eastAsia="zh-CN"/>
        </w:rPr>
      </w:pPr>
      <w:r w:rsidRPr="00C11B65">
        <w:rPr>
          <w:szCs w:val="20"/>
          <w:lang w:eastAsia="zh-CN"/>
        </w:rPr>
        <w:t>Minimālo izglītojamo skaitu izglītības programmu uzsākšanai nosaka pašvaldība.</w:t>
      </w:r>
    </w:p>
    <w:p w:rsidR="00C11B65" w:rsidRPr="00C11B65" w:rsidRDefault="00C11B65" w:rsidP="00C11B65">
      <w:pPr>
        <w:numPr>
          <w:ilvl w:val="0"/>
          <w:numId w:val="2"/>
        </w:numPr>
        <w:suppressAutoHyphens/>
        <w:ind w:left="426" w:hanging="426"/>
        <w:jc w:val="both"/>
        <w:rPr>
          <w:szCs w:val="20"/>
          <w:lang w:eastAsia="zh-CN"/>
        </w:rPr>
      </w:pPr>
      <w:r w:rsidRPr="00C11B65">
        <w:rPr>
          <w:szCs w:val="20"/>
          <w:lang w:eastAsia="zh-CN"/>
        </w:rPr>
        <w:t>Iestāde</w:t>
      </w:r>
      <w:r w:rsidRPr="00C11B65">
        <w:rPr>
          <w:snapToGrid w:val="0"/>
          <w:szCs w:val="20"/>
          <w:lang w:eastAsia="zh-CN"/>
        </w:rPr>
        <w:t xml:space="preserve"> drīkst noteikt iestājpārbaudījumus izglītojamo uzņemšanai:</w:t>
      </w:r>
    </w:p>
    <w:p w:rsidR="00C11B65" w:rsidRPr="00C11B65" w:rsidRDefault="00C11B65" w:rsidP="00C11B65">
      <w:pPr>
        <w:numPr>
          <w:ilvl w:val="0"/>
          <w:numId w:val="3"/>
        </w:numPr>
        <w:tabs>
          <w:tab w:val="left" w:pos="993"/>
        </w:tabs>
        <w:suppressAutoHyphens/>
        <w:ind w:left="964" w:hanging="567"/>
        <w:jc w:val="both"/>
        <w:rPr>
          <w:szCs w:val="20"/>
          <w:lang w:eastAsia="zh-CN"/>
        </w:rPr>
      </w:pPr>
      <w:r w:rsidRPr="00C11B65">
        <w:rPr>
          <w:szCs w:val="20"/>
          <w:lang w:eastAsia="zh-CN"/>
        </w:rPr>
        <w:t xml:space="preserve">mākslas izglītības programmā pārbauda izglītojamā atbilstību izglītības programmas uzsākšanai – </w:t>
      </w:r>
      <w:r w:rsidRPr="00C11B65">
        <w:rPr>
          <w:snapToGrid w:val="0"/>
          <w:szCs w:val="20"/>
          <w:lang w:eastAsia="zh-CN"/>
        </w:rPr>
        <w:t>māksliniecisko uztveri – ritma, krāsu, proporciju izjūtu;</w:t>
      </w:r>
    </w:p>
    <w:p w:rsidR="00C11B65" w:rsidRPr="00C11B65" w:rsidRDefault="00C11B65" w:rsidP="00C11B65">
      <w:pPr>
        <w:numPr>
          <w:ilvl w:val="0"/>
          <w:numId w:val="3"/>
        </w:numPr>
        <w:tabs>
          <w:tab w:val="left" w:pos="993"/>
        </w:tabs>
        <w:suppressAutoHyphens/>
        <w:ind w:left="964" w:hanging="567"/>
        <w:jc w:val="both"/>
        <w:rPr>
          <w:szCs w:val="20"/>
          <w:lang w:eastAsia="zh-CN"/>
        </w:rPr>
      </w:pPr>
      <w:r w:rsidRPr="00C11B65">
        <w:rPr>
          <w:szCs w:val="20"/>
          <w:lang w:eastAsia="zh-CN"/>
        </w:rPr>
        <w:t>mūzikas izglītības programmās pārbauda izglītojamā atbilstību izglītības programmas uzsākšanai:</w:t>
      </w:r>
    </w:p>
    <w:p w:rsidR="00C11B65" w:rsidRPr="00C11B65" w:rsidRDefault="00C11B65" w:rsidP="00C11B65">
      <w:pPr>
        <w:suppressAutoHyphens/>
        <w:ind w:left="1673" w:hanging="709"/>
        <w:jc w:val="both"/>
        <w:rPr>
          <w:snapToGrid w:val="0"/>
          <w:szCs w:val="20"/>
          <w:lang w:eastAsia="zh-CN"/>
        </w:rPr>
      </w:pPr>
      <w:r w:rsidRPr="00C11B65">
        <w:rPr>
          <w:szCs w:val="20"/>
          <w:lang w:eastAsia="zh-CN"/>
        </w:rPr>
        <w:t xml:space="preserve">17.2.1. </w:t>
      </w:r>
      <w:r w:rsidRPr="00C11B65">
        <w:rPr>
          <w:snapToGrid w:val="0"/>
          <w:szCs w:val="20"/>
          <w:lang w:eastAsia="zh-CN"/>
        </w:rPr>
        <w:t>muzikālās dotības – muzikālo dzirdi, ritma izjūtu un muzikālo atmiņu;</w:t>
      </w:r>
    </w:p>
    <w:p w:rsidR="00C11B65" w:rsidRPr="00C11B65" w:rsidRDefault="00C11B65" w:rsidP="00C11B65">
      <w:pPr>
        <w:suppressAutoHyphens/>
        <w:ind w:left="1673" w:hanging="709"/>
        <w:jc w:val="both"/>
        <w:rPr>
          <w:snapToGrid w:val="0"/>
          <w:szCs w:val="20"/>
          <w:lang w:eastAsia="zh-CN"/>
        </w:rPr>
      </w:pPr>
      <w:r w:rsidRPr="00C11B65">
        <w:rPr>
          <w:snapToGrid w:val="0"/>
          <w:szCs w:val="20"/>
          <w:lang w:eastAsia="zh-CN"/>
        </w:rPr>
        <w:t>17.2.2. vispārējo fizisko attīstību.</w:t>
      </w:r>
    </w:p>
    <w:p w:rsidR="00C11B65" w:rsidRPr="00C11B65" w:rsidRDefault="00C11B65" w:rsidP="00C11B65">
      <w:pPr>
        <w:numPr>
          <w:ilvl w:val="0"/>
          <w:numId w:val="2"/>
        </w:numPr>
        <w:shd w:val="clear" w:color="auto" w:fill="FFFFFF"/>
        <w:suppressAutoHyphens/>
        <w:ind w:left="426" w:hanging="426"/>
        <w:jc w:val="both"/>
        <w:rPr>
          <w:sz w:val="32"/>
          <w:szCs w:val="20"/>
        </w:rPr>
      </w:pPr>
      <w:r w:rsidRPr="00C11B65">
        <w:rPr>
          <w:color w:val="000000"/>
          <w:szCs w:val="20"/>
          <w:lang w:eastAsia="zh-CN"/>
        </w:rPr>
        <w:t>Profesionālās ievirzes izglītības programmu īstenošana ietver teorētiskās un praktiskās mācības, kā arī radošo darbību.</w:t>
      </w:r>
    </w:p>
    <w:p w:rsidR="00C11B65" w:rsidRPr="00C11B65" w:rsidRDefault="00C11B65" w:rsidP="00C11B65">
      <w:pPr>
        <w:numPr>
          <w:ilvl w:val="0"/>
          <w:numId w:val="2"/>
        </w:numPr>
        <w:shd w:val="clear" w:color="auto" w:fill="FFFFFF"/>
        <w:suppressAutoHyphens/>
        <w:ind w:left="426" w:hanging="426"/>
        <w:jc w:val="both"/>
        <w:rPr>
          <w:sz w:val="40"/>
          <w:szCs w:val="20"/>
        </w:rPr>
      </w:pPr>
      <w:r w:rsidRPr="00C11B65">
        <w:rPr>
          <w:snapToGrid w:val="0"/>
          <w:szCs w:val="20"/>
          <w:lang w:eastAsia="zh-CN"/>
        </w:rPr>
        <w:t>Mācību darba organizācijas pamatforma ir mācību stunda / nodarbība, tās ilgums – 40 minūtes</w:t>
      </w:r>
      <w:r w:rsidRPr="00C11B65">
        <w:rPr>
          <w:szCs w:val="20"/>
          <w:lang w:eastAsia="zh-CN"/>
        </w:rPr>
        <w:t xml:space="preserve">. </w:t>
      </w:r>
      <w:r w:rsidRPr="00C11B65">
        <w:rPr>
          <w:color w:val="000000"/>
          <w:szCs w:val="20"/>
          <w:lang w:eastAsia="zh-CN"/>
        </w:rPr>
        <w:t xml:space="preserve">Izglītības programmas tiek īstenotas grupu un individuālajās </w:t>
      </w:r>
      <w:r w:rsidRPr="00C11B65">
        <w:rPr>
          <w:szCs w:val="20"/>
          <w:lang w:eastAsia="zh-CN"/>
        </w:rPr>
        <w:t xml:space="preserve">nodarbībās, izglītojamo patstāvīgajā darbā, </w:t>
      </w:r>
      <w:proofErr w:type="spellStart"/>
      <w:r w:rsidRPr="00C11B65">
        <w:rPr>
          <w:szCs w:val="20"/>
          <w:lang w:eastAsia="zh-CN"/>
        </w:rPr>
        <w:t>ārpusstundu</w:t>
      </w:r>
      <w:proofErr w:type="spellEnd"/>
      <w:r w:rsidRPr="00C11B65">
        <w:rPr>
          <w:szCs w:val="20"/>
          <w:lang w:eastAsia="zh-CN"/>
        </w:rPr>
        <w:t xml:space="preserve"> pasākumos.</w:t>
      </w:r>
    </w:p>
    <w:p w:rsidR="00C11B65" w:rsidRPr="00C11B65" w:rsidRDefault="00C11B65" w:rsidP="00C11B65">
      <w:pPr>
        <w:numPr>
          <w:ilvl w:val="0"/>
          <w:numId w:val="2"/>
        </w:numPr>
        <w:shd w:val="clear" w:color="auto" w:fill="FFFFFF"/>
        <w:suppressAutoHyphens/>
        <w:ind w:left="426" w:hanging="426"/>
        <w:jc w:val="both"/>
        <w:rPr>
          <w:szCs w:val="20"/>
        </w:rPr>
      </w:pPr>
      <w:r w:rsidRPr="00C11B65">
        <w:rPr>
          <w:szCs w:val="20"/>
          <w:lang w:eastAsia="zh-CN"/>
        </w:rPr>
        <w:t>Profesionālās ievirzes izglītības ieguves ilgumu un izglītības saturu nosaka attiecīgā izglītības programma. Mācību slodzes ilgumu profesionālās ievirzes izglītības programmā nosaka Profesionālās izglītības likums.</w:t>
      </w:r>
    </w:p>
    <w:p w:rsidR="00C11B65" w:rsidRPr="00C11B65" w:rsidRDefault="00C11B65" w:rsidP="00C11B65">
      <w:pPr>
        <w:numPr>
          <w:ilvl w:val="0"/>
          <w:numId w:val="2"/>
        </w:numPr>
        <w:shd w:val="clear" w:color="auto" w:fill="FFFFFF"/>
        <w:suppressAutoHyphens/>
        <w:ind w:left="426" w:hanging="426"/>
        <w:jc w:val="both"/>
        <w:rPr>
          <w:szCs w:val="20"/>
        </w:rPr>
      </w:pPr>
      <w:r w:rsidRPr="00C11B65">
        <w:rPr>
          <w:szCs w:val="20"/>
        </w:rPr>
        <w:t xml:space="preserve">Iestāde nosaka vienotu izglītojamo sasniegumu vērtēšanas kārtību, ievērojot Profesionālās izglītības likumā un citos normatīvajos akots noteiktās prasības. Izglītojamo sasniegumi – zināšanas, prasmes un iemaņas tiek vērtētas vērtējuma skalā – „ieskaitīts” vai „neieskaitīts” – vai ar atzīmi 10 </w:t>
      </w:r>
      <w:proofErr w:type="spellStart"/>
      <w:r w:rsidRPr="00C11B65">
        <w:rPr>
          <w:szCs w:val="20"/>
        </w:rPr>
        <w:t>ballu</w:t>
      </w:r>
      <w:proofErr w:type="spellEnd"/>
      <w:r w:rsidRPr="00C11B65">
        <w:rPr>
          <w:szCs w:val="20"/>
        </w:rPr>
        <w:t xml:space="preserve"> vērtējuma skalā.</w:t>
      </w:r>
    </w:p>
    <w:p w:rsidR="00C11B65" w:rsidRPr="00C11B65" w:rsidRDefault="00C11B65" w:rsidP="00C11B65">
      <w:pPr>
        <w:numPr>
          <w:ilvl w:val="0"/>
          <w:numId w:val="2"/>
        </w:numPr>
        <w:shd w:val="clear" w:color="auto" w:fill="FFFFFF"/>
        <w:suppressAutoHyphens/>
        <w:ind w:left="426" w:hanging="426"/>
        <w:jc w:val="both"/>
        <w:rPr>
          <w:sz w:val="32"/>
          <w:szCs w:val="20"/>
        </w:rPr>
      </w:pPr>
      <w:r w:rsidRPr="00C11B65">
        <w:rPr>
          <w:szCs w:val="20"/>
          <w:lang w:eastAsia="zh-CN"/>
        </w:rPr>
        <w:t>I</w:t>
      </w:r>
      <w:r w:rsidRPr="00C11B65">
        <w:rPr>
          <w:bCs/>
          <w:szCs w:val="20"/>
          <w:lang w:eastAsia="zh-CN"/>
        </w:rPr>
        <w:t>estādes</w:t>
      </w:r>
      <w:r w:rsidRPr="00C11B65">
        <w:rPr>
          <w:szCs w:val="20"/>
          <w:lang w:eastAsia="zh-CN"/>
        </w:rPr>
        <w:t xml:space="preserve"> struktūru un mācību materiāltehnisko bāzi izveido, ievērojot izglītības programmu saturu un īstenošanas specifiku.</w:t>
      </w:r>
    </w:p>
    <w:p w:rsidR="00C11B65" w:rsidRPr="00C11B65" w:rsidRDefault="00C11B65" w:rsidP="00C11B65">
      <w:pPr>
        <w:numPr>
          <w:ilvl w:val="0"/>
          <w:numId w:val="2"/>
        </w:numPr>
        <w:shd w:val="clear" w:color="auto" w:fill="FFFFFF"/>
        <w:suppressAutoHyphens/>
        <w:ind w:left="426" w:hanging="426"/>
        <w:jc w:val="both"/>
        <w:rPr>
          <w:sz w:val="32"/>
          <w:szCs w:val="20"/>
        </w:rPr>
      </w:pPr>
      <w:r w:rsidRPr="00C11B65">
        <w:rPr>
          <w:szCs w:val="20"/>
        </w:rPr>
        <w:t xml:space="preserve">Pēc profesionālās ievirzes  izglītības programmas apguves izglītojamie saņem </w:t>
      </w:r>
      <w:r w:rsidRPr="00C11B65">
        <w:rPr>
          <w:szCs w:val="20"/>
          <w:shd w:val="clear" w:color="auto" w:fill="FFFFFF"/>
          <w:lang w:eastAsia="zh-CN"/>
        </w:rPr>
        <w:t>valsts atzītu profesionālās ievirzes izglītību apliecinošu dokumentu (</w:t>
      </w:r>
      <w:r w:rsidRPr="00C11B65">
        <w:rPr>
          <w:szCs w:val="20"/>
        </w:rPr>
        <w:t>profesionālās ievirzes izglītības apliecību</w:t>
      </w:r>
      <w:r w:rsidRPr="00C11B65">
        <w:rPr>
          <w:szCs w:val="20"/>
          <w:shd w:val="clear" w:color="auto" w:fill="FFFFFF"/>
          <w:lang w:eastAsia="zh-CN"/>
        </w:rPr>
        <w:t>)</w:t>
      </w:r>
      <w:r w:rsidRPr="00C11B65">
        <w:rPr>
          <w:szCs w:val="20"/>
        </w:rPr>
        <w:t xml:space="preserve"> Ministru kabineta noteiktajā kārtībā</w:t>
      </w:r>
      <w:r w:rsidRPr="00C11B65">
        <w:rPr>
          <w:szCs w:val="20"/>
          <w:shd w:val="clear" w:color="auto" w:fill="FFFFFF"/>
          <w:lang w:eastAsia="zh-CN"/>
        </w:rPr>
        <w:t>.</w:t>
      </w:r>
    </w:p>
    <w:p w:rsidR="00C11B65" w:rsidRPr="00C11B65" w:rsidRDefault="00C11B65" w:rsidP="00C11B65">
      <w:pPr>
        <w:shd w:val="clear" w:color="auto" w:fill="FFFFFF"/>
        <w:suppressAutoHyphens/>
        <w:ind w:left="426"/>
        <w:jc w:val="both"/>
        <w:rPr>
          <w:sz w:val="32"/>
          <w:szCs w:val="20"/>
        </w:rPr>
      </w:pPr>
    </w:p>
    <w:p w:rsidR="00C11B65" w:rsidRPr="00C11B65" w:rsidRDefault="00C11B65" w:rsidP="00C11B65">
      <w:pPr>
        <w:suppressAutoHyphens/>
        <w:autoSpaceDE w:val="0"/>
        <w:ind w:left="360"/>
        <w:jc w:val="center"/>
        <w:rPr>
          <w:rFonts w:eastAsia="Calibri"/>
          <w:color w:val="000000"/>
          <w:lang w:eastAsia="zh-CN"/>
        </w:rPr>
      </w:pPr>
      <w:r w:rsidRPr="00C11B65">
        <w:rPr>
          <w:rFonts w:eastAsia="Calibri"/>
          <w:b/>
          <w:bCs/>
          <w:lang w:eastAsia="zh-CN"/>
        </w:rPr>
        <w:t>V. Pedagogu un citu darbinieku tiesības un pienākumi</w:t>
      </w:r>
    </w:p>
    <w:p w:rsidR="00C11B65" w:rsidRPr="00C11B65" w:rsidRDefault="00C11B65" w:rsidP="00C11B65">
      <w:pPr>
        <w:numPr>
          <w:ilvl w:val="0"/>
          <w:numId w:val="2"/>
        </w:numPr>
        <w:shd w:val="clear" w:color="auto" w:fill="FFFFFF"/>
        <w:suppressAutoHyphens/>
        <w:ind w:left="426" w:hanging="426"/>
        <w:jc w:val="both"/>
        <w:rPr>
          <w:sz w:val="40"/>
          <w:szCs w:val="20"/>
        </w:rPr>
      </w:pPr>
      <w:r w:rsidRPr="00C11B65">
        <w:rPr>
          <w:bCs/>
          <w:szCs w:val="20"/>
          <w:lang w:eastAsia="en-US"/>
        </w:rPr>
        <w:t>Iestādi vada vadītājs (turpmāk – direktors), kuru pieņem darbā un atbrīvo no darba dibinātājs normatīvajos aktos noteiktā kārtībā.</w:t>
      </w:r>
    </w:p>
    <w:p w:rsidR="00C11B65" w:rsidRPr="00C11B65" w:rsidRDefault="00C11B65" w:rsidP="00C11B65">
      <w:pPr>
        <w:numPr>
          <w:ilvl w:val="0"/>
          <w:numId w:val="2"/>
        </w:numPr>
        <w:shd w:val="clear" w:color="auto" w:fill="FFFFFF"/>
        <w:suppressAutoHyphens/>
        <w:ind w:left="426" w:hanging="426"/>
        <w:jc w:val="both"/>
        <w:rPr>
          <w:sz w:val="40"/>
          <w:szCs w:val="20"/>
        </w:rPr>
      </w:pPr>
      <w:r w:rsidRPr="00C11B65">
        <w:rPr>
          <w:bCs/>
          <w:szCs w:val="20"/>
          <w:lang w:eastAsia="en-US"/>
        </w:rPr>
        <w:t>Par direktoru ir tiesīga strādāt persona, kuras izglītība un kvalifikācija atbilst normatīvajos aktos noteiktajām prasībām.</w:t>
      </w:r>
    </w:p>
    <w:p w:rsidR="00C11B65" w:rsidRPr="00C11B65" w:rsidRDefault="00C11B65" w:rsidP="00C11B65">
      <w:pPr>
        <w:numPr>
          <w:ilvl w:val="0"/>
          <w:numId w:val="2"/>
        </w:numPr>
        <w:suppressAutoHyphens/>
        <w:ind w:left="426" w:hanging="426"/>
        <w:contextualSpacing/>
        <w:jc w:val="both"/>
        <w:rPr>
          <w:bCs/>
          <w:lang w:eastAsia="en-US"/>
        </w:rPr>
      </w:pPr>
      <w:r w:rsidRPr="00C11B65">
        <w:rPr>
          <w:bCs/>
          <w:lang w:eastAsia="en-US"/>
        </w:rPr>
        <w:t>Direktora tiesības, pienākumi un atbildība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C11B65" w:rsidRPr="00C11B65" w:rsidRDefault="00C11B65" w:rsidP="00C11B65">
      <w:pPr>
        <w:numPr>
          <w:ilvl w:val="0"/>
          <w:numId w:val="2"/>
        </w:numPr>
        <w:suppressAutoHyphens/>
        <w:ind w:left="426" w:hanging="426"/>
        <w:contextualSpacing/>
        <w:jc w:val="both"/>
        <w:rPr>
          <w:bCs/>
          <w:lang w:eastAsia="en-US"/>
        </w:rPr>
      </w:pPr>
      <w:r w:rsidRPr="00C11B65">
        <w:rPr>
          <w:bCs/>
          <w:lang w:eastAsia="en-US"/>
        </w:rPr>
        <w:t xml:space="preserve">Iestādes pedagogus un citus darbiniekus darbā pieņem un atbrīvo direktors normatīvajos aktos noteiktā kārtībā. Direktors ir tiesīgs deleģēt pedagogiem un citiem iestādes darbiniekiem konkrētu uzdevumu veikšanu. </w:t>
      </w:r>
      <w:r w:rsidRPr="00C11B65">
        <w:t>Direktora vietnieku skaitu nosaka direktors, saskaņojot ar dibinātāju.</w:t>
      </w:r>
    </w:p>
    <w:p w:rsidR="00C11B65" w:rsidRPr="00C11B65" w:rsidRDefault="00C11B65" w:rsidP="00C11B65">
      <w:pPr>
        <w:numPr>
          <w:ilvl w:val="0"/>
          <w:numId w:val="2"/>
        </w:numPr>
        <w:suppressAutoHyphens/>
        <w:ind w:left="426" w:hanging="426"/>
        <w:contextualSpacing/>
        <w:jc w:val="both"/>
        <w:rPr>
          <w:bCs/>
          <w:lang w:eastAsia="en-US"/>
        </w:rPr>
      </w:pPr>
      <w:r w:rsidRPr="00C11B65">
        <w:rPr>
          <w:bCs/>
          <w:lang w:eastAsia="en-US"/>
        </w:rPr>
        <w:t>Iestādes pedagogu tiesības, pienākumi un atbildība noteikta Izglītības likumā, Profesionālās izglītības likumā, Bērnu tiesību aizsardzības likumā, Fizisko personu datu aizsardzības likumā, Darba</w:t>
      </w:r>
      <w:r w:rsidRPr="00C11B65">
        <w:rPr>
          <w:bCs/>
        </w:rPr>
        <w:t xml:space="preserve"> likumā un citos normatīvajos aktos. Ped</w:t>
      </w:r>
      <w:r w:rsidRPr="00C11B65">
        <w:t xml:space="preserve">agoga </w:t>
      </w:r>
      <w:r w:rsidRPr="00C11B65">
        <w:rPr>
          <w:bCs/>
        </w:rPr>
        <w:t>tiesības, pienākumus un atbildību precizē darba līgums un amata apraksts.</w:t>
      </w:r>
    </w:p>
    <w:p w:rsidR="00C11B65" w:rsidRPr="00C11B65" w:rsidRDefault="00C11B65" w:rsidP="00C11B65">
      <w:pPr>
        <w:numPr>
          <w:ilvl w:val="0"/>
          <w:numId w:val="2"/>
        </w:numPr>
        <w:suppressAutoHyphens/>
        <w:ind w:left="426" w:hanging="426"/>
        <w:contextualSpacing/>
        <w:jc w:val="both"/>
        <w:rPr>
          <w:bCs/>
          <w:lang w:eastAsia="en-US"/>
        </w:rPr>
      </w:pPr>
      <w:r w:rsidRPr="00C11B65">
        <w:rPr>
          <w:bCs/>
        </w:rPr>
        <w:t>Iestādes citu darbinieku tiesības, pienākumi un atbildība noteikta Darba likumā, Bērnu tiesību aizsardzības likumā un citos normatīvajos aktos. Iestādes citu darbinieku tiesības, pienākumus un atbildību precizē darba līgums un amata apraksts.</w:t>
      </w:r>
    </w:p>
    <w:p w:rsidR="00C11B65" w:rsidRDefault="00C11B65" w:rsidP="00C11B65">
      <w:pPr>
        <w:ind w:left="426"/>
        <w:contextualSpacing/>
        <w:jc w:val="both"/>
        <w:rPr>
          <w:bCs/>
        </w:rPr>
      </w:pPr>
    </w:p>
    <w:p w:rsidR="00C11B65" w:rsidRDefault="00C11B65" w:rsidP="00C11B65">
      <w:pPr>
        <w:ind w:left="426"/>
        <w:contextualSpacing/>
        <w:jc w:val="both"/>
        <w:rPr>
          <w:bCs/>
        </w:rPr>
      </w:pPr>
    </w:p>
    <w:p w:rsidR="00C11B65" w:rsidRPr="00C11B65" w:rsidRDefault="00C11B65" w:rsidP="00C11B65">
      <w:pPr>
        <w:ind w:left="426"/>
        <w:contextualSpacing/>
        <w:jc w:val="both"/>
        <w:rPr>
          <w:bCs/>
        </w:rPr>
      </w:pPr>
    </w:p>
    <w:p w:rsidR="00C11B65" w:rsidRPr="00C11B65" w:rsidRDefault="00C11B65" w:rsidP="00C11B65">
      <w:pPr>
        <w:suppressAutoHyphens/>
        <w:autoSpaceDE w:val="0"/>
        <w:jc w:val="center"/>
        <w:rPr>
          <w:rFonts w:eastAsia="Calibri"/>
          <w:lang w:eastAsia="zh-CN"/>
        </w:rPr>
      </w:pPr>
      <w:r w:rsidRPr="00C11B65">
        <w:rPr>
          <w:rFonts w:eastAsia="Calibri"/>
          <w:b/>
          <w:color w:val="000000"/>
          <w:lang w:eastAsia="zh-CN"/>
        </w:rPr>
        <w:t>VI. Izglītojamo tiesības un pienākumi</w:t>
      </w:r>
    </w:p>
    <w:p w:rsidR="00C11B65" w:rsidRPr="00C11B65" w:rsidRDefault="00C11B65" w:rsidP="00C11B65">
      <w:pPr>
        <w:numPr>
          <w:ilvl w:val="0"/>
          <w:numId w:val="2"/>
        </w:numPr>
        <w:suppressAutoHyphens/>
        <w:ind w:left="426" w:hanging="426"/>
        <w:contextualSpacing/>
        <w:jc w:val="both"/>
        <w:rPr>
          <w:bCs/>
          <w:lang w:eastAsia="en-US"/>
        </w:rPr>
      </w:pPr>
      <w:r w:rsidRPr="00C11B65">
        <w:t>Izglītojamo tiesība</w:t>
      </w:r>
      <w:r w:rsidRPr="00C11B65">
        <w:rPr>
          <w:bCs/>
        </w:rPr>
        <w:t>s, pienākumi un atbildība noteikta Izglītības likumā, Bērnu tiesību aizsardzības likumā, citos ārējos normatīvajos aktus un iestādes iekšējos normatīvajos aktos.</w:t>
      </w:r>
    </w:p>
    <w:p w:rsidR="00C11B65" w:rsidRPr="00C11B65" w:rsidRDefault="00C11B65" w:rsidP="00C11B65">
      <w:pPr>
        <w:jc w:val="both"/>
        <w:rPr>
          <w:bCs/>
        </w:rPr>
      </w:pPr>
    </w:p>
    <w:p w:rsidR="00C11B65" w:rsidRPr="00C11B65" w:rsidRDefault="00C11B65" w:rsidP="00C11B65">
      <w:pPr>
        <w:suppressAutoHyphens/>
        <w:jc w:val="center"/>
        <w:rPr>
          <w:b/>
          <w:szCs w:val="20"/>
          <w:lang w:eastAsia="zh-CN"/>
        </w:rPr>
      </w:pPr>
      <w:r w:rsidRPr="00C11B65">
        <w:rPr>
          <w:b/>
          <w:szCs w:val="20"/>
          <w:lang w:eastAsia="zh-CN"/>
        </w:rPr>
        <w:t>VII. Iestādes pašpārvaldes izveidošanas kārtība, tās kompetence</w:t>
      </w:r>
    </w:p>
    <w:p w:rsidR="00C11B65" w:rsidRPr="00C11B65" w:rsidRDefault="00C11B65" w:rsidP="00C11B65">
      <w:pPr>
        <w:numPr>
          <w:ilvl w:val="0"/>
          <w:numId w:val="2"/>
        </w:numPr>
        <w:suppressAutoHyphens/>
        <w:ind w:left="426" w:hanging="426"/>
        <w:contextualSpacing/>
        <w:jc w:val="both"/>
        <w:rPr>
          <w:bCs/>
          <w:lang w:eastAsia="en-US"/>
        </w:rPr>
      </w:pPr>
      <w:r w:rsidRPr="00C11B65">
        <w:t>Direktoram ir pienākums nodrošināt iestādes padomes izveidošanu un darbību.</w:t>
      </w:r>
    </w:p>
    <w:p w:rsidR="00C11B65" w:rsidRPr="00C11B65" w:rsidRDefault="00C11B65" w:rsidP="00C11B65">
      <w:pPr>
        <w:numPr>
          <w:ilvl w:val="0"/>
          <w:numId w:val="2"/>
        </w:numPr>
        <w:suppressAutoHyphens/>
        <w:ind w:left="426" w:hanging="426"/>
        <w:contextualSpacing/>
        <w:jc w:val="both"/>
        <w:rPr>
          <w:bCs/>
          <w:lang w:eastAsia="en-US"/>
        </w:rPr>
      </w:pPr>
      <w:r w:rsidRPr="00C11B65">
        <w:t>Iestādes padomes kompetenci nosaka Izglītības likums, un tā darbojas saskaņā ar iestādes padomes darbību reglamentējošu normatīvo aktu, ko, saskaņojot ar direktoru, izdod padome.</w:t>
      </w:r>
    </w:p>
    <w:p w:rsidR="00C11B65" w:rsidRPr="00C11B65" w:rsidRDefault="00C11B65" w:rsidP="00C11B65">
      <w:pPr>
        <w:numPr>
          <w:ilvl w:val="0"/>
          <w:numId w:val="2"/>
        </w:numPr>
        <w:suppressAutoHyphens/>
        <w:ind w:left="426" w:hanging="426"/>
        <w:jc w:val="both"/>
        <w:rPr>
          <w:szCs w:val="20"/>
          <w:lang w:eastAsia="zh-CN"/>
        </w:rPr>
      </w:pPr>
      <w:r w:rsidRPr="00C11B65">
        <w:rPr>
          <w:szCs w:val="20"/>
          <w:lang w:eastAsia="zh-CN"/>
        </w:rPr>
        <w:t>Iestādes padomes kompetenci nosaka Izglītības likums, un tā darbojas saskaņā ar iestādes padomes darbību reglamentējošu normatīvo aktu, ko, saskaņojot ar direktoru, izdod padome.</w:t>
      </w:r>
    </w:p>
    <w:p w:rsidR="00C11B65" w:rsidRPr="00C11B65" w:rsidRDefault="00C11B65" w:rsidP="00C11B65">
      <w:pPr>
        <w:numPr>
          <w:ilvl w:val="0"/>
          <w:numId w:val="2"/>
        </w:numPr>
        <w:suppressAutoHyphens/>
        <w:ind w:left="426" w:hanging="426"/>
        <w:contextualSpacing/>
        <w:jc w:val="both"/>
        <w:rPr>
          <w:bCs/>
          <w:lang w:eastAsia="en-US"/>
        </w:rPr>
      </w:pPr>
      <w:r w:rsidRPr="00C11B65">
        <w:t>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C11B65" w:rsidRPr="00C11B65" w:rsidRDefault="00C11B65" w:rsidP="00C11B65">
      <w:pPr>
        <w:numPr>
          <w:ilvl w:val="0"/>
          <w:numId w:val="2"/>
        </w:numPr>
        <w:suppressAutoHyphens/>
        <w:ind w:left="426" w:hanging="426"/>
        <w:contextualSpacing/>
        <w:jc w:val="both"/>
        <w:rPr>
          <w:bCs/>
          <w:lang w:eastAsia="en-US"/>
        </w:rPr>
      </w:pPr>
      <w:r w:rsidRPr="00C11B65">
        <w:t>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C11B65" w:rsidRPr="00C11B65" w:rsidRDefault="00C11B65" w:rsidP="00C11B65">
      <w:pPr>
        <w:numPr>
          <w:ilvl w:val="0"/>
          <w:numId w:val="2"/>
        </w:numPr>
        <w:suppressAutoHyphens/>
        <w:ind w:left="426" w:hanging="426"/>
        <w:contextualSpacing/>
        <w:jc w:val="both"/>
        <w:rPr>
          <w:bCs/>
          <w:lang w:eastAsia="en-US"/>
        </w:rPr>
      </w:pPr>
      <w:r w:rsidRPr="00C11B65">
        <w:t>Izglītojamo pašpārvalde ir koleģiāla izglītojamo institūcija. Tās darbību nosaka izglītojamo pašpārvaldes reglamentējošs normatīvais akts, ko, saskaņojot ar direktoru, izdod izglītojamo pašpārvalde.</w:t>
      </w:r>
    </w:p>
    <w:p w:rsidR="00C11B65" w:rsidRPr="00C11B65" w:rsidRDefault="00C11B65" w:rsidP="00C11B65">
      <w:pPr>
        <w:numPr>
          <w:ilvl w:val="0"/>
          <w:numId w:val="2"/>
        </w:numPr>
        <w:suppressAutoHyphens/>
        <w:ind w:left="426" w:hanging="426"/>
        <w:contextualSpacing/>
        <w:jc w:val="both"/>
        <w:rPr>
          <w:bCs/>
          <w:lang w:eastAsia="en-US"/>
        </w:rPr>
      </w:pPr>
      <w:r w:rsidRPr="00C11B65">
        <w:t>Izglītības iestādes padomei, pedagoģiskai padomei, izglītojamo pašpārvaldei ir konsultatīvs raksturs.</w:t>
      </w:r>
    </w:p>
    <w:p w:rsidR="00C11B65" w:rsidRPr="00C11B65" w:rsidRDefault="00C11B65" w:rsidP="00C11B65">
      <w:pPr>
        <w:numPr>
          <w:ilvl w:val="0"/>
          <w:numId w:val="2"/>
        </w:numPr>
        <w:suppressAutoHyphens/>
        <w:ind w:left="426" w:hanging="426"/>
        <w:contextualSpacing/>
        <w:jc w:val="both"/>
        <w:rPr>
          <w:bCs/>
          <w:lang w:eastAsia="en-US"/>
        </w:rPr>
      </w:pPr>
      <w:r w:rsidRPr="00C11B65">
        <w:t>Izglītības programmās noteikto prasību īstenošanas kvalitātes nodrošināšanai, mācību priekšmetu pedagogi tiek apvienoti nodaļās un metodiskajās komisijās. Nodaļas un metodiskās komisijas darbojas saskaņā ar nolikumu un iestādes iekšējiem normatīvajiem aktiem, to darbu koordinē direktors, direktora vietnieki vai izglītības metodiķi.</w:t>
      </w:r>
    </w:p>
    <w:p w:rsidR="00C11B65" w:rsidRPr="00C11B65" w:rsidRDefault="00C11B65" w:rsidP="00C11B65">
      <w:pPr>
        <w:ind w:left="426"/>
        <w:contextualSpacing/>
        <w:jc w:val="both"/>
      </w:pPr>
    </w:p>
    <w:p w:rsidR="00C11B65" w:rsidRPr="00C11B65" w:rsidRDefault="00C11B65" w:rsidP="00C11B65">
      <w:pPr>
        <w:tabs>
          <w:tab w:val="left" w:pos="360"/>
        </w:tabs>
        <w:suppressAutoHyphens/>
        <w:jc w:val="center"/>
        <w:rPr>
          <w:b/>
          <w:bCs/>
          <w:szCs w:val="20"/>
          <w:lang w:eastAsia="zh-CN"/>
        </w:rPr>
      </w:pPr>
      <w:r w:rsidRPr="00C11B65">
        <w:rPr>
          <w:b/>
          <w:bCs/>
          <w:szCs w:val="20"/>
          <w:lang w:eastAsia="zh-CN"/>
        </w:rPr>
        <w:t>VIII. Iestādes iekšējo reglamentējošo dokumentu pieņemšanas kārtība</w:t>
      </w:r>
    </w:p>
    <w:p w:rsidR="00C11B65" w:rsidRPr="00C11B65" w:rsidRDefault="00C11B65" w:rsidP="00C11B65">
      <w:pPr>
        <w:numPr>
          <w:ilvl w:val="0"/>
          <w:numId w:val="2"/>
        </w:numPr>
        <w:suppressAutoHyphens/>
        <w:ind w:left="426" w:hanging="426"/>
        <w:contextualSpacing/>
        <w:jc w:val="both"/>
        <w:rPr>
          <w:bCs/>
          <w:lang w:eastAsia="en-US"/>
        </w:rPr>
      </w:pPr>
      <w:r w:rsidRPr="00C11B65">
        <w:t xml:space="preserve">Iestāde, saskaņā ar </w:t>
      </w:r>
      <w:hyperlink r:id="rId7" w:tgtFrame="_blank" w:history="1">
        <w:r w:rsidRPr="00C11B65">
          <w:t>Izglītības likum</w:t>
        </w:r>
      </w:hyperlink>
      <w:r w:rsidRPr="00C11B65">
        <w:t xml:space="preserve">ā un citos normatīvajos aktos, kā arī iestādes nolikumā noteikto, patstāvīgi izstrādā un </w:t>
      </w:r>
      <w:r w:rsidRPr="00C11B65">
        <w:rPr>
          <w:bCs/>
        </w:rPr>
        <w:t>izdod</w:t>
      </w:r>
      <w:r w:rsidRPr="00C11B65">
        <w:t xml:space="preserve"> iestādes iekšējos normatīvos aktus.</w:t>
      </w:r>
    </w:p>
    <w:p w:rsidR="00C11B65" w:rsidRPr="00C11B65" w:rsidRDefault="00C11B65" w:rsidP="00C11B65">
      <w:pPr>
        <w:ind w:left="720"/>
        <w:contextualSpacing/>
        <w:jc w:val="both"/>
        <w:rPr>
          <w:bCs/>
          <w:lang w:eastAsia="en-US"/>
        </w:rPr>
      </w:pPr>
    </w:p>
    <w:p w:rsidR="00C11B65" w:rsidRPr="00C11B65" w:rsidRDefault="00C11B65" w:rsidP="00C11B65">
      <w:pPr>
        <w:suppressAutoHyphens/>
        <w:ind w:left="360"/>
        <w:jc w:val="center"/>
        <w:rPr>
          <w:b/>
          <w:szCs w:val="20"/>
          <w:lang w:eastAsia="zh-CN"/>
        </w:rPr>
      </w:pPr>
      <w:r w:rsidRPr="00C11B65">
        <w:rPr>
          <w:b/>
          <w:szCs w:val="20"/>
          <w:lang w:eastAsia="zh-CN"/>
        </w:rPr>
        <w:t>IX. Iestādes saimnieciskā darbība</w:t>
      </w:r>
    </w:p>
    <w:p w:rsidR="00C11B65" w:rsidRPr="00C11B65" w:rsidRDefault="00C11B65" w:rsidP="00C11B65">
      <w:pPr>
        <w:numPr>
          <w:ilvl w:val="0"/>
          <w:numId w:val="2"/>
        </w:numPr>
        <w:suppressAutoHyphens/>
        <w:ind w:left="426" w:hanging="426"/>
        <w:contextualSpacing/>
        <w:jc w:val="both"/>
        <w:rPr>
          <w:bCs/>
          <w:lang w:eastAsia="en-US"/>
        </w:rPr>
      </w:pPr>
      <w:r w:rsidRPr="00C11B65">
        <w:t>Iestāde ir patstāvīga finanšu, saimnieciskajā un citā darbībā saskaņā ar Izglītības likumā, Profesionālās izglītības likumā un citos normatīvajos aktos, kā arī iestādes nolikumā noteikto.</w:t>
      </w:r>
    </w:p>
    <w:p w:rsidR="00C11B65" w:rsidRPr="00C11B65" w:rsidRDefault="00C11B65" w:rsidP="00C11B65">
      <w:pPr>
        <w:numPr>
          <w:ilvl w:val="0"/>
          <w:numId w:val="2"/>
        </w:numPr>
        <w:suppressAutoHyphens/>
        <w:ind w:left="426" w:hanging="426"/>
        <w:contextualSpacing/>
        <w:jc w:val="both"/>
        <w:rPr>
          <w:bCs/>
          <w:lang w:eastAsia="en-US"/>
        </w:rPr>
      </w:pPr>
      <w:r w:rsidRPr="00C11B65">
        <w:t>Atbilstoši normatīvajos aktos noteiktajam direktors, saskaņojot ar pašvaldību, ir tiesīgs slēgt ar juridiskām un fiziskām personām līgumus par dažādu iestādei nepieciešamo darbu veikšanu un citiem pakalpojumiem (piemēram, sniedzot ēdināšanas pakalpojumus, telpu noma), ja tas netraucē izglītības programmu īstenošanai.</w:t>
      </w:r>
    </w:p>
    <w:p w:rsidR="00C11B65" w:rsidRPr="00C11B65" w:rsidRDefault="00C11B65" w:rsidP="00C11B65">
      <w:pPr>
        <w:numPr>
          <w:ilvl w:val="0"/>
          <w:numId w:val="2"/>
        </w:numPr>
        <w:suppressAutoHyphens/>
        <w:ind w:left="426" w:hanging="426"/>
        <w:jc w:val="both"/>
        <w:rPr>
          <w:szCs w:val="20"/>
          <w:lang w:eastAsia="zh-CN"/>
        </w:rPr>
      </w:pPr>
      <w:r w:rsidRPr="00C11B65">
        <w:rPr>
          <w:bCs/>
          <w:szCs w:val="20"/>
          <w:lang w:eastAsia="zh-CN"/>
        </w:rPr>
        <w:t>Iestādes</w:t>
      </w:r>
      <w:r w:rsidRPr="00C11B65">
        <w:rPr>
          <w:spacing w:val="-4"/>
          <w:szCs w:val="20"/>
          <w:lang w:eastAsia="zh-CN"/>
        </w:rPr>
        <w:t xml:space="preserve"> saimnieciskās darbības ietvaros tiek veikta </w:t>
      </w:r>
      <w:r w:rsidRPr="00C11B65">
        <w:rPr>
          <w:bCs/>
          <w:szCs w:val="20"/>
          <w:lang w:eastAsia="zh-CN"/>
        </w:rPr>
        <w:t xml:space="preserve">iestādes </w:t>
      </w:r>
      <w:r w:rsidRPr="00C11B65">
        <w:rPr>
          <w:spacing w:val="-4"/>
          <w:szCs w:val="20"/>
          <w:lang w:eastAsia="zh-CN"/>
        </w:rPr>
        <w:t>telpu un teritorijas apsaimniekošana.</w:t>
      </w:r>
    </w:p>
    <w:p w:rsidR="00C11B65" w:rsidRPr="00C11B65" w:rsidRDefault="00C11B65" w:rsidP="00C11B65">
      <w:pPr>
        <w:suppressAutoHyphens/>
        <w:ind w:left="426"/>
        <w:jc w:val="both"/>
        <w:rPr>
          <w:spacing w:val="-4"/>
          <w:szCs w:val="20"/>
          <w:lang w:eastAsia="zh-CN"/>
        </w:rPr>
      </w:pPr>
    </w:p>
    <w:p w:rsidR="00C11B65" w:rsidRPr="00C11B65" w:rsidRDefault="00C11B65" w:rsidP="00C11B65">
      <w:pPr>
        <w:suppressAutoHyphens/>
        <w:jc w:val="center"/>
        <w:rPr>
          <w:b/>
          <w:szCs w:val="20"/>
          <w:lang w:eastAsia="zh-CN"/>
        </w:rPr>
      </w:pPr>
      <w:r w:rsidRPr="00C11B65">
        <w:rPr>
          <w:b/>
          <w:szCs w:val="20"/>
          <w:lang w:eastAsia="zh-CN"/>
        </w:rPr>
        <w:t>X. Iestādes finansēšanas avoti un kārtība</w:t>
      </w:r>
    </w:p>
    <w:p w:rsidR="00C11B65" w:rsidRPr="00C11B65" w:rsidRDefault="00C11B65" w:rsidP="00C11B65">
      <w:pPr>
        <w:numPr>
          <w:ilvl w:val="0"/>
          <w:numId w:val="2"/>
        </w:numPr>
        <w:suppressAutoHyphens/>
        <w:ind w:left="426" w:hanging="426"/>
        <w:jc w:val="both"/>
        <w:rPr>
          <w:sz w:val="32"/>
          <w:szCs w:val="20"/>
          <w:lang w:eastAsia="zh-CN"/>
        </w:rPr>
      </w:pPr>
      <w:r w:rsidRPr="00C11B65">
        <w:rPr>
          <w:szCs w:val="20"/>
          <w:lang w:eastAsia="zh-CN"/>
        </w:rPr>
        <w:t xml:space="preserve">Iestādi finansē pašvaldība. Iestādes finansēšanas avotus un kārtību nosaka </w:t>
      </w:r>
      <w:hyperlink r:id="rId8" w:tgtFrame="_blank" w:tooltip="Izglītības likums /Spēkā esošs/" w:history="1">
        <w:r w:rsidRPr="00C11B65">
          <w:rPr>
            <w:szCs w:val="20"/>
            <w:lang w:eastAsia="zh-CN"/>
          </w:rPr>
          <w:t>Izglītības likums</w:t>
        </w:r>
      </w:hyperlink>
      <w:r w:rsidRPr="00C11B65">
        <w:rPr>
          <w:szCs w:val="20"/>
          <w:lang w:eastAsia="zh-CN"/>
        </w:rPr>
        <w:t>, Profesionālās izglītības likums un citi normatīvie akti.</w:t>
      </w:r>
    </w:p>
    <w:p w:rsidR="00C11B65" w:rsidRPr="00C11B65" w:rsidRDefault="00C11B65" w:rsidP="00C11B65">
      <w:pPr>
        <w:numPr>
          <w:ilvl w:val="0"/>
          <w:numId w:val="2"/>
        </w:numPr>
        <w:suppressAutoHyphens/>
        <w:ind w:left="426" w:hanging="426"/>
        <w:jc w:val="both"/>
        <w:rPr>
          <w:szCs w:val="20"/>
          <w:lang w:eastAsia="zh-CN"/>
        </w:rPr>
      </w:pPr>
      <w:r w:rsidRPr="00C11B65">
        <w:rPr>
          <w:szCs w:val="20"/>
          <w:lang w:eastAsia="zh-CN"/>
        </w:rPr>
        <w:t>Iestāde normatīvajos aktos noteiktā kārtībā var saņemt papildu finanšu līdzekļus:</w:t>
      </w:r>
    </w:p>
    <w:p w:rsidR="00C11B65" w:rsidRPr="00C11B65" w:rsidRDefault="00C11B65" w:rsidP="00C11B65">
      <w:pPr>
        <w:numPr>
          <w:ilvl w:val="0"/>
          <w:numId w:val="4"/>
        </w:numPr>
        <w:suppressAutoHyphens/>
        <w:ind w:left="992" w:hanging="567"/>
        <w:jc w:val="both"/>
        <w:rPr>
          <w:szCs w:val="20"/>
          <w:lang w:eastAsia="zh-CN"/>
        </w:rPr>
      </w:pPr>
      <w:r w:rsidRPr="00C11B65">
        <w:rPr>
          <w:szCs w:val="20"/>
          <w:lang w:eastAsia="zh-CN"/>
        </w:rPr>
        <w:t>ziedojumu un dāvinājumu veidā;</w:t>
      </w:r>
    </w:p>
    <w:p w:rsidR="00C11B65" w:rsidRPr="00C11B65" w:rsidRDefault="00C11B65" w:rsidP="00C11B65">
      <w:pPr>
        <w:numPr>
          <w:ilvl w:val="0"/>
          <w:numId w:val="4"/>
        </w:numPr>
        <w:suppressAutoHyphens/>
        <w:ind w:left="992" w:hanging="567"/>
        <w:jc w:val="both"/>
        <w:rPr>
          <w:szCs w:val="20"/>
          <w:lang w:eastAsia="zh-CN"/>
        </w:rPr>
      </w:pPr>
      <w:r w:rsidRPr="00C11B65">
        <w:t>sniedzot maksas pakalpojumus atbilstoši Dibinātāja apstiprinātajiem Limbažu novada pašvaldības institūciju un iestāžu maksas pakalpojumu izcenojumiem</w:t>
      </w:r>
      <w:r w:rsidRPr="00C11B65">
        <w:rPr>
          <w:szCs w:val="20"/>
          <w:lang w:eastAsia="zh-CN"/>
        </w:rPr>
        <w:t>;</w:t>
      </w:r>
    </w:p>
    <w:p w:rsidR="00C11B65" w:rsidRPr="00C11B65" w:rsidRDefault="00C11B65" w:rsidP="00C11B65">
      <w:pPr>
        <w:numPr>
          <w:ilvl w:val="0"/>
          <w:numId w:val="4"/>
        </w:numPr>
        <w:suppressAutoHyphens/>
        <w:ind w:left="992" w:hanging="567"/>
        <w:jc w:val="both"/>
        <w:rPr>
          <w:szCs w:val="20"/>
          <w:lang w:eastAsia="zh-CN"/>
        </w:rPr>
      </w:pPr>
      <w:r w:rsidRPr="00C11B65">
        <w:rPr>
          <w:szCs w:val="20"/>
          <w:lang w:eastAsia="zh-CN"/>
        </w:rPr>
        <w:t>no citiem ieņēmumiem.</w:t>
      </w:r>
    </w:p>
    <w:p w:rsidR="00C11B65" w:rsidRPr="00C11B65" w:rsidRDefault="00C11B65" w:rsidP="00C11B65">
      <w:pPr>
        <w:numPr>
          <w:ilvl w:val="0"/>
          <w:numId w:val="2"/>
        </w:numPr>
        <w:suppressAutoHyphens/>
        <w:ind w:left="426" w:hanging="426"/>
        <w:jc w:val="both"/>
        <w:rPr>
          <w:sz w:val="40"/>
          <w:szCs w:val="20"/>
          <w:lang w:eastAsia="zh-CN"/>
        </w:rPr>
      </w:pPr>
      <w:r w:rsidRPr="00C11B65">
        <w:rPr>
          <w:szCs w:val="20"/>
          <w:lang w:eastAsia="en-US"/>
        </w:rPr>
        <w:t>Papildu finanšu līdzekļi ieskaitāmi iestādes attiecīgajā budžeta kontā un izmantojami tikai:</w:t>
      </w:r>
    </w:p>
    <w:p w:rsidR="00C11B65" w:rsidRPr="00C11B65" w:rsidRDefault="00C11B65" w:rsidP="00C11B65">
      <w:pPr>
        <w:numPr>
          <w:ilvl w:val="0"/>
          <w:numId w:val="5"/>
        </w:numPr>
        <w:suppressAutoHyphens/>
        <w:ind w:left="993" w:hanging="567"/>
        <w:jc w:val="both"/>
        <w:rPr>
          <w:lang w:eastAsia="en-US"/>
        </w:rPr>
      </w:pPr>
      <w:r w:rsidRPr="00C11B65">
        <w:rPr>
          <w:lang w:eastAsia="en-US"/>
        </w:rPr>
        <w:t>iestādes attīstībai;</w:t>
      </w:r>
    </w:p>
    <w:p w:rsidR="00C11B65" w:rsidRPr="00C11B65" w:rsidRDefault="00C11B65" w:rsidP="00C11B65">
      <w:pPr>
        <w:numPr>
          <w:ilvl w:val="0"/>
          <w:numId w:val="5"/>
        </w:numPr>
        <w:suppressAutoHyphens/>
        <w:ind w:left="993" w:hanging="567"/>
        <w:jc w:val="both"/>
        <w:rPr>
          <w:lang w:eastAsia="en-US"/>
        </w:rPr>
      </w:pPr>
      <w:r w:rsidRPr="00C11B65">
        <w:rPr>
          <w:lang w:eastAsia="en-US"/>
        </w:rPr>
        <w:t>mācību līdzekļu iegādei;</w:t>
      </w:r>
    </w:p>
    <w:p w:rsidR="00C11B65" w:rsidRPr="00C11B65" w:rsidRDefault="00C11B65" w:rsidP="00C11B65">
      <w:pPr>
        <w:numPr>
          <w:ilvl w:val="0"/>
          <w:numId w:val="5"/>
        </w:numPr>
        <w:suppressAutoHyphens/>
        <w:ind w:left="993" w:hanging="567"/>
        <w:jc w:val="both"/>
        <w:rPr>
          <w:lang w:eastAsia="en-US"/>
        </w:rPr>
      </w:pPr>
      <w:r w:rsidRPr="00C11B65">
        <w:rPr>
          <w:lang w:eastAsia="en-US"/>
        </w:rPr>
        <w:lastRenderedPageBreak/>
        <w:t>iestādes aprīkojuma iegādei;</w:t>
      </w:r>
    </w:p>
    <w:p w:rsidR="00C11B65" w:rsidRPr="00C11B65" w:rsidRDefault="00C11B65" w:rsidP="00C11B65">
      <w:pPr>
        <w:numPr>
          <w:ilvl w:val="0"/>
          <w:numId w:val="5"/>
        </w:numPr>
        <w:suppressAutoHyphens/>
        <w:ind w:left="993" w:hanging="567"/>
        <w:jc w:val="both"/>
        <w:rPr>
          <w:lang w:eastAsia="en-US"/>
        </w:rPr>
      </w:pPr>
      <w:r w:rsidRPr="00C11B65">
        <w:rPr>
          <w:lang w:eastAsia="en-US"/>
        </w:rPr>
        <w:t>pedagogu materiālajai stimulēšanai.</w:t>
      </w:r>
    </w:p>
    <w:p w:rsidR="00C11B65" w:rsidRPr="00C11B65" w:rsidRDefault="00C11B65" w:rsidP="00C11B65">
      <w:pPr>
        <w:numPr>
          <w:ilvl w:val="0"/>
          <w:numId w:val="2"/>
        </w:numPr>
        <w:suppressAutoHyphens/>
        <w:ind w:left="426" w:hanging="426"/>
        <w:jc w:val="both"/>
        <w:rPr>
          <w:szCs w:val="20"/>
          <w:lang w:eastAsia="zh-CN"/>
        </w:rPr>
      </w:pPr>
      <w:r w:rsidRPr="00C11B65">
        <w:rPr>
          <w:szCs w:val="20"/>
          <w:lang w:eastAsia="zh-CN"/>
        </w:rPr>
        <w:t>Papildu finanšu līdzekļu izmantošanas kārtību nosaka direktors, saskaņojot ar dibinātāju.</w:t>
      </w:r>
    </w:p>
    <w:p w:rsidR="00C11B65" w:rsidRPr="00C11B65" w:rsidRDefault="00C11B65" w:rsidP="00C11B65">
      <w:pPr>
        <w:suppressAutoHyphens/>
        <w:ind w:left="360"/>
        <w:jc w:val="center"/>
        <w:rPr>
          <w:b/>
          <w:sz w:val="20"/>
          <w:szCs w:val="20"/>
          <w:lang w:eastAsia="zh-CN"/>
        </w:rPr>
      </w:pPr>
    </w:p>
    <w:p w:rsidR="00C11B65" w:rsidRPr="00C11B65" w:rsidRDefault="00C11B65" w:rsidP="00C11B65">
      <w:pPr>
        <w:suppressAutoHyphens/>
        <w:ind w:left="360"/>
        <w:jc w:val="center"/>
        <w:rPr>
          <w:b/>
          <w:szCs w:val="20"/>
          <w:lang w:eastAsia="zh-CN"/>
        </w:rPr>
      </w:pPr>
      <w:r w:rsidRPr="00C11B65">
        <w:rPr>
          <w:b/>
          <w:szCs w:val="20"/>
          <w:lang w:eastAsia="zh-CN"/>
        </w:rPr>
        <w:t>XI. Iestādes reorganizācijas un likvidācijas kārtība</w:t>
      </w:r>
    </w:p>
    <w:p w:rsidR="00C11B65" w:rsidRPr="00C11B65" w:rsidRDefault="00C11B65" w:rsidP="00C11B65">
      <w:pPr>
        <w:numPr>
          <w:ilvl w:val="0"/>
          <w:numId w:val="2"/>
        </w:numPr>
        <w:suppressAutoHyphens/>
        <w:ind w:left="426" w:hanging="426"/>
        <w:contextualSpacing/>
        <w:jc w:val="both"/>
        <w:rPr>
          <w:bCs/>
          <w:lang w:eastAsia="en-US"/>
        </w:rPr>
      </w:pPr>
      <w:r w:rsidRPr="00C11B65">
        <w:t>I</w:t>
      </w:r>
      <w:r w:rsidRPr="00C11B65">
        <w:rPr>
          <w:bCs/>
        </w:rPr>
        <w:t>estādi</w:t>
      </w:r>
      <w:r w:rsidRPr="00C11B65">
        <w:t xml:space="preserve"> reorganizē vai likvidē dibinātājs normatīvajos aktos noteiktā kārtībā, paziņojot par to Izglītības iestāžu reģistram.</w:t>
      </w:r>
    </w:p>
    <w:p w:rsidR="00C11B65" w:rsidRPr="00C11B65" w:rsidRDefault="00C11B65" w:rsidP="00C11B65">
      <w:pPr>
        <w:ind w:left="426"/>
        <w:contextualSpacing/>
        <w:jc w:val="both"/>
        <w:rPr>
          <w:bCs/>
          <w:sz w:val="32"/>
          <w:lang w:eastAsia="en-US"/>
        </w:rPr>
      </w:pPr>
    </w:p>
    <w:p w:rsidR="00C11B65" w:rsidRPr="00C11B65" w:rsidRDefault="00C11B65" w:rsidP="00C11B65">
      <w:pPr>
        <w:suppressAutoHyphens/>
        <w:ind w:left="360"/>
        <w:jc w:val="center"/>
        <w:rPr>
          <w:b/>
          <w:szCs w:val="20"/>
          <w:lang w:eastAsia="zh-CN"/>
        </w:rPr>
      </w:pPr>
      <w:r w:rsidRPr="00C11B65">
        <w:rPr>
          <w:b/>
          <w:szCs w:val="20"/>
          <w:lang w:eastAsia="zh-CN"/>
        </w:rPr>
        <w:t xml:space="preserve">XII. </w:t>
      </w:r>
      <w:r w:rsidRPr="00C11B65">
        <w:rPr>
          <w:b/>
          <w:bCs/>
          <w:szCs w:val="20"/>
          <w:lang w:eastAsia="zh-CN"/>
        </w:rPr>
        <w:t>Iestādes</w:t>
      </w:r>
      <w:r w:rsidRPr="00C11B65">
        <w:rPr>
          <w:b/>
          <w:szCs w:val="20"/>
          <w:lang w:eastAsia="zh-CN"/>
        </w:rPr>
        <w:t xml:space="preserve"> nolikuma un tā grozījumu pieņemšanas kārtība</w:t>
      </w:r>
    </w:p>
    <w:p w:rsidR="00C11B65" w:rsidRPr="00C11B65" w:rsidRDefault="00C11B65" w:rsidP="00C11B65">
      <w:pPr>
        <w:numPr>
          <w:ilvl w:val="0"/>
          <w:numId w:val="2"/>
        </w:numPr>
        <w:suppressAutoHyphens/>
        <w:ind w:left="426" w:hanging="426"/>
        <w:contextualSpacing/>
        <w:jc w:val="both"/>
      </w:pPr>
      <w:r w:rsidRPr="00C11B65">
        <w:t>Iestāde, pamatojoties uz Izglītības likumu, izstrādā iestādes nolikumu. Iestādes nolikumu apstiprina Dibinātājs.</w:t>
      </w:r>
    </w:p>
    <w:p w:rsidR="00C11B65" w:rsidRPr="00C11B65" w:rsidRDefault="00C11B65" w:rsidP="00C11B65">
      <w:pPr>
        <w:numPr>
          <w:ilvl w:val="0"/>
          <w:numId w:val="2"/>
        </w:numPr>
        <w:suppressAutoHyphens/>
        <w:ind w:left="426" w:hanging="426"/>
        <w:contextualSpacing/>
        <w:jc w:val="both"/>
      </w:pPr>
      <w:r w:rsidRPr="00C11B65">
        <w:t>Grozījumus iestādes nolikumā var izdarīt pēc iestādes Dibinātāja vai direktora priekšlikuma.</w:t>
      </w:r>
    </w:p>
    <w:p w:rsidR="00C11B65" w:rsidRPr="00C11B65" w:rsidRDefault="00C11B65" w:rsidP="00C11B65">
      <w:pPr>
        <w:numPr>
          <w:ilvl w:val="0"/>
          <w:numId w:val="2"/>
        </w:numPr>
        <w:suppressAutoHyphens/>
        <w:ind w:left="426" w:hanging="426"/>
        <w:contextualSpacing/>
        <w:jc w:val="both"/>
      </w:pPr>
      <w:r w:rsidRPr="00C11B65">
        <w:t>Grozījumus nolikumā izstrādā iestāde un apstiprina Dibinātājs.</w:t>
      </w:r>
    </w:p>
    <w:p w:rsidR="00C11B65" w:rsidRPr="00C11B65" w:rsidRDefault="00C11B65" w:rsidP="00C11B65">
      <w:pPr>
        <w:jc w:val="both"/>
        <w:rPr>
          <w:bCs/>
          <w:lang w:eastAsia="en-US"/>
        </w:rPr>
      </w:pPr>
    </w:p>
    <w:p w:rsidR="00C11B65" w:rsidRPr="00C11B65" w:rsidRDefault="00C11B65" w:rsidP="00C11B65">
      <w:pPr>
        <w:suppressAutoHyphens/>
        <w:jc w:val="center"/>
        <w:rPr>
          <w:b/>
          <w:lang w:eastAsia="zh-CN"/>
        </w:rPr>
      </w:pPr>
      <w:r w:rsidRPr="00C11B65">
        <w:rPr>
          <w:b/>
          <w:lang w:eastAsia="zh-CN"/>
        </w:rPr>
        <w:t xml:space="preserve">XIII. Citi būtiski noteikumi, kas nav pretrunā ar Profesionālās izglītības likumu, </w:t>
      </w:r>
      <w:hyperlink r:id="rId9" w:tgtFrame="_blank" w:history="1">
        <w:r w:rsidRPr="00C11B65">
          <w:rPr>
            <w:b/>
            <w:lang w:eastAsia="zh-CN"/>
          </w:rPr>
          <w:t>Izglītības likumu</w:t>
        </w:r>
      </w:hyperlink>
      <w:r w:rsidRPr="00C11B65">
        <w:rPr>
          <w:lang w:eastAsia="zh-CN"/>
        </w:rPr>
        <w:t> </w:t>
      </w:r>
      <w:r w:rsidRPr="00C11B65">
        <w:rPr>
          <w:b/>
          <w:lang w:eastAsia="zh-CN"/>
        </w:rPr>
        <w:t>un citiem normatīvajiem aktiem</w:t>
      </w:r>
    </w:p>
    <w:p w:rsidR="00C11B65" w:rsidRPr="00C11B65" w:rsidRDefault="00C11B65" w:rsidP="00C11B65">
      <w:pPr>
        <w:numPr>
          <w:ilvl w:val="0"/>
          <w:numId w:val="2"/>
        </w:numPr>
        <w:suppressAutoHyphens/>
        <w:ind w:left="426" w:hanging="426"/>
        <w:jc w:val="both"/>
        <w:rPr>
          <w:lang w:eastAsia="zh-CN"/>
        </w:rPr>
      </w:pPr>
      <w:r w:rsidRPr="00C11B65">
        <w:rPr>
          <w:lang w:eastAsia="zh-CN"/>
        </w:rPr>
        <w:t xml:space="preserve">Iestādes izdotu administratīvo aktu vai faktisko rīcību privātpersona var apstrīdēt, iesniedzot attiecīgu iesniegumu </w:t>
      </w:r>
      <w:r w:rsidRPr="00C11B65">
        <w:rPr>
          <w:szCs w:val="20"/>
          <w:lang w:eastAsia="zh-CN"/>
        </w:rPr>
        <w:t>Dibinātājam, Rīgas ielā 16, Limbažos, LV-4001</w:t>
      </w:r>
      <w:r w:rsidRPr="00C11B65">
        <w:rPr>
          <w:color w:val="FF0000"/>
          <w:lang w:eastAsia="zh-CN"/>
        </w:rPr>
        <w:t>.</w:t>
      </w:r>
    </w:p>
    <w:p w:rsidR="00C11B65" w:rsidRPr="00C11B65" w:rsidRDefault="00C11B65" w:rsidP="00C11B65">
      <w:pPr>
        <w:numPr>
          <w:ilvl w:val="0"/>
          <w:numId w:val="2"/>
        </w:numPr>
        <w:suppressAutoHyphens/>
        <w:ind w:left="426" w:hanging="426"/>
        <w:jc w:val="both"/>
        <w:rPr>
          <w:lang w:eastAsia="zh-CN"/>
        </w:rPr>
      </w:pPr>
      <w:r w:rsidRPr="00C11B65">
        <w:rPr>
          <w:lang w:eastAsia="zh-CN"/>
        </w:rPr>
        <w:t xml:space="preserve">Saskaņā ar normatīvajos aktos un pašvaldības noteikto kārtību iestāde veic </w:t>
      </w:r>
      <w:r w:rsidRPr="00C11B65">
        <w:rPr>
          <w:bCs/>
          <w:shd w:val="clear" w:color="auto" w:fill="FFFFFF"/>
          <w:lang w:eastAsia="zh-CN"/>
        </w:rPr>
        <w:t>dokumentu un arhīvu pārvaldību.</w:t>
      </w:r>
    </w:p>
    <w:p w:rsidR="00C11B65" w:rsidRPr="00C11B65" w:rsidRDefault="00C11B65" w:rsidP="00C11B65">
      <w:pPr>
        <w:numPr>
          <w:ilvl w:val="0"/>
          <w:numId w:val="2"/>
        </w:numPr>
        <w:suppressAutoHyphens/>
        <w:ind w:left="426" w:hanging="426"/>
        <w:jc w:val="both"/>
        <w:rPr>
          <w:lang w:eastAsia="zh-CN"/>
        </w:rPr>
      </w:pPr>
      <w:r w:rsidRPr="00C11B65">
        <w:rPr>
          <w:lang w:eastAsia="zh-CN"/>
        </w:rPr>
        <w:t>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C11B65" w:rsidRPr="00C11B65" w:rsidRDefault="00C11B65" w:rsidP="00C11B65">
      <w:pPr>
        <w:numPr>
          <w:ilvl w:val="0"/>
          <w:numId w:val="2"/>
        </w:numPr>
        <w:suppressAutoHyphens/>
        <w:ind w:left="426" w:hanging="426"/>
        <w:jc w:val="both"/>
        <w:rPr>
          <w:lang w:eastAsia="zh-CN"/>
        </w:rPr>
      </w:pPr>
      <w:r w:rsidRPr="00C11B65">
        <w:rPr>
          <w:lang w:eastAsia="zh-CN"/>
        </w:rPr>
        <w:t>Iestāde normatīvajos aktos noteiktā kārtībā informē kompetentu institūciju par akreditācijas ekspertu komisijas ziņojumos norādīto ieteikumu ieviešanu.</w:t>
      </w:r>
    </w:p>
    <w:p w:rsidR="00C11B65" w:rsidRPr="00C11B65" w:rsidRDefault="00C11B65" w:rsidP="00C11B65">
      <w:pPr>
        <w:numPr>
          <w:ilvl w:val="0"/>
          <w:numId w:val="2"/>
        </w:numPr>
        <w:suppressAutoHyphens/>
        <w:ind w:left="426" w:hanging="426"/>
        <w:jc w:val="both"/>
        <w:rPr>
          <w:lang w:eastAsia="zh-CN"/>
        </w:rPr>
      </w:pPr>
      <w:r w:rsidRPr="00C11B65">
        <w:rPr>
          <w:lang w:eastAsia="zh-CN"/>
        </w:rPr>
        <w:t>Iestāde normatīvajos aktos noteiktā kārtībā nodrošina piekļuvi bibliotekārajiem, informācijas un karjeras attīstības atbalsta pakalpojumiem.</w:t>
      </w:r>
    </w:p>
    <w:p w:rsidR="00C11B65" w:rsidRPr="00C11B65" w:rsidRDefault="00C11B65" w:rsidP="00C11B65">
      <w:pPr>
        <w:numPr>
          <w:ilvl w:val="0"/>
          <w:numId w:val="2"/>
        </w:numPr>
        <w:suppressAutoHyphens/>
        <w:ind w:left="426" w:hanging="426"/>
        <w:jc w:val="both"/>
        <w:rPr>
          <w:lang w:eastAsia="zh-CN"/>
        </w:rPr>
      </w:pPr>
      <w:r w:rsidRPr="00C11B65">
        <w:rPr>
          <w:lang w:eastAsia="zh-CN"/>
        </w:rPr>
        <w:t>Iestāde normatīvajos aktos noteiktā kārtībā nodrošina izglītojamo profilaktisko veselības aprūpi un pirmās palīdzības pieejamību iestādē.</w:t>
      </w:r>
    </w:p>
    <w:p w:rsidR="00C11B65" w:rsidRPr="00C11B65" w:rsidRDefault="00C11B65" w:rsidP="00C11B65">
      <w:pPr>
        <w:numPr>
          <w:ilvl w:val="0"/>
          <w:numId w:val="2"/>
        </w:numPr>
        <w:suppressAutoHyphens/>
        <w:ind w:left="426" w:hanging="426"/>
        <w:jc w:val="both"/>
        <w:rPr>
          <w:lang w:eastAsia="zh-CN"/>
        </w:rPr>
      </w:pPr>
      <w:r w:rsidRPr="00C11B65">
        <w:rPr>
          <w:lang w:eastAsia="zh-CN"/>
        </w:rPr>
        <w:t xml:space="preserve">Iestāde veic nepieciešamās darbības fizisko personu </w:t>
      </w:r>
      <w:proofErr w:type="spellStart"/>
      <w:r w:rsidRPr="00C11B65">
        <w:rPr>
          <w:lang w:eastAsia="zh-CN"/>
        </w:rPr>
        <w:t>pamattiesību</w:t>
      </w:r>
      <w:proofErr w:type="spellEnd"/>
      <w:r w:rsidRPr="00C11B65">
        <w:rPr>
          <w:lang w:eastAsia="zh-CN"/>
        </w:rPr>
        <w:t xml:space="preserve"> aizsardzībai, tostarp veic fizisko personu datu apstrādi saskaņā ar Fizisko personu datu aizsardzības likumu.</w:t>
      </w:r>
    </w:p>
    <w:p w:rsidR="00C11B65" w:rsidRPr="00C11B65" w:rsidRDefault="00C11B65" w:rsidP="00C11B65">
      <w:pPr>
        <w:numPr>
          <w:ilvl w:val="0"/>
          <w:numId w:val="2"/>
        </w:numPr>
        <w:suppressAutoHyphens/>
        <w:ind w:left="426" w:hanging="426"/>
        <w:jc w:val="both"/>
        <w:rPr>
          <w:lang w:eastAsia="zh-CN"/>
        </w:rPr>
      </w:pPr>
      <w:r w:rsidRPr="00C11B65">
        <w:rPr>
          <w:lang w:eastAsia="zh-CN"/>
        </w:rPr>
        <w:t>Iestāde sadarbībā ar pašvaldību nodrošina izglītojamo drošību iestādē un tās organizētajos pasākumos atbilstoši normatīvajos aktos noteiktajām prasībām, tostarp:</w:t>
      </w:r>
    </w:p>
    <w:p w:rsidR="00C11B65" w:rsidRPr="00C11B65" w:rsidRDefault="00C11B65" w:rsidP="00C11B65">
      <w:pPr>
        <w:numPr>
          <w:ilvl w:val="0"/>
          <w:numId w:val="6"/>
        </w:numPr>
        <w:suppressAutoHyphens/>
        <w:ind w:left="992" w:hanging="567"/>
        <w:jc w:val="both"/>
        <w:rPr>
          <w:lang w:eastAsia="zh-CN"/>
        </w:rPr>
      </w:pPr>
      <w:r w:rsidRPr="00C11B65">
        <w:rPr>
          <w:lang w:eastAsia="zh-CN"/>
        </w:rPr>
        <w:t>attiecībā uz higiēnas noteikumu ievērošanu;</w:t>
      </w:r>
    </w:p>
    <w:p w:rsidR="00C11B65" w:rsidRPr="00C11B65" w:rsidRDefault="00C11B65" w:rsidP="00C11B65">
      <w:pPr>
        <w:numPr>
          <w:ilvl w:val="0"/>
          <w:numId w:val="6"/>
        </w:numPr>
        <w:suppressAutoHyphens/>
        <w:ind w:left="992" w:hanging="567"/>
        <w:jc w:val="both"/>
        <w:rPr>
          <w:lang w:eastAsia="zh-CN"/>
        </w:rPr>
      </w:pPr>
      <w:r w:rsidRPr="00C11B65">
        <w:rPr>
          <w:lang w:eastAsia="zh-CN"/>
        </w:rPr>
        <w:t>ugunsdrošības, elektrodrošības un darba aizsardzības noteikumu ievērošanu.</w:t>
      </w:r>
    </w:p>
    <w:p w:rsidR="00C11B65" w:rsidRPr="00C11B65" w:rsidRDefault="00C11B65" w:rsidP="00C11B65">
      <w:pPr>
        <w:numPr>
          <w:ilvl w:val="0"/>
          <w:numId w:val="2"/>
        </w:numPr>
        <w:suppressAutoHyphens/>
        <w:ind w:left="426" w:hanging="426"/>
        <w:jc w:val="both"/>
        <w:rPr>
          <w:lang w:eastAsia="zh-CN"/>
        </w:rPr>
      </w:pPr>
      <w:r w:rsidRPr="00C11B65">
        <w:rPr>
          <w:lang w:eastAsia="zh-CN"/>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C11B65" w:rsidRPr="00C11B65" w:rsidRDefault="00C11B65" w:rsidP="00C11B65">
      <w:pPr>
        <w:suppressAutoHyphens/>
        <w:ind w:left="426"/>
        <w:rPr>
          <w:lang w:eastAsia="zh-CN"/>
        </w:rPr>
      </w:pPr>
    </w:p>
    <w:p w:rsidR="00C11B65" w:rsidRPr="00C11B65" w:rsidRDefault="00C11B65" w:rsidP="00C11B65">
      <w:pPr>
        <w:suppressAutoHyphens/>
        <w:autoSpaceDE w:val="0"/>
        <w:jc w:val="center"/>
        <w:rPr>
          <w:rFonts w:eastAsia="Calibri"/>
          <w:color w:val="000000"/>
          <w:lang w:eastAsia="zh-CN"/>
        </w:rPr>
      </w:pPr>
      <w:r w:rsidRPr="00C11B65">
        <w:rPr>
          <w:rFonts w:eastAsia="Calibri"/>
          <w:b/>
          <w:bCs/>
          <w:lang w:eastAsia="zh-CN"/>
        </w:rPr>
        <w:t>XIV. Noslēguma jautājumi</w:t>
      </w:r>
    </w:p>
    <w:p w:rsidR="00C11B65" w:rsidRPr="00C11B65" w:rsidRDefault="00C11B65" w:rsidP="00C11B65">
      <w:pPr>
        <w:numPr>
          <w:ilvl w:val="0"/>
          <w:numId w:val="2"/>
        </w:numPr>
        <w:suppressAutoHyphens/>
        <w:ind w:left="426" w:hanging="426"/>
        <w:jc w:val="both"/>
        <w:rPr>
          <w:lang w:eastAsia="zh-CN"/>
        </w:rPr>
      </w:pPr>
      <w:r w:rsidRPr="00C11B65">
        <w:rPr>
          <w:lang w:eastAsia="zh-CN"/>
        </w:rPr>
        <w:t>Nolikums stājas spēkā ar 2018.gada 1.jūliju.</w:t>
      </w:r>
    </w:p>
    <w:p w:rsidR="00C11B65" w:rsidRPr="00C11B65" w:rsidRDefault="00C11B65" w:rsidP="00C11B65">
      <w:pPr>
        <w:numPr>
          <w:ilvl w:val="0"/>
          <w:numId w:val="2"/>
        </w:numPr>
        <w:suppressAutoHyphens/>
        <w:ind w:left="426" w:hanging="426"/>
        <w:jc w:val="both"/>
        <w:rPr>
          <w:lang w:eastAsia="zh-CN"/>
        </w:rPr>
      </w:pPr>
      <w:r w:rsidRPr="00C11B65">
        <w:rPr>
          <w:lang w:eastAsia="zh-CN"/>
        </w:rPr>
        <w:t>Ar šī nolikuma spēkā stāšanos atzīt par spēku zaudējušu Limbažu mākslas skolas nolikumu, kas apstiprināts ar Limbažu novada domes 2010.gada 30.septembra lēmumu (protokols Nr.18, 28.§) un Limbažu mūzikas skolas nolikumu, kas apstiprināts ar Limbažu novada domes 2010.gada 30.septembra lēmumu (protokols Nr.18, 28.§).</w:t>
      </w:r>
    </w:p>
    <w:p w:rsidR="00C11B65" w:rsidRPr="00C11B65" w:rsidRDefault="00C11B65" w:rsidP="00C11B65">
      <w:pPr>
        <w:suppressAutoHyphens/>
        <w:autoSpaceDE w:val="0"/>
        <w:ind w:left="720"/>
        <w:rPr>
          <w:rFonts w:eastAsia="Calibri"/>
          <w:lang w:eastAsia="zh-CN"/>
        </w:rPr>
      </w:pPr>
    </w:p>
    <w:p w:rsidR="00C11B65" w:rsidRPr="00C11B65" w:rsidRDefault="00C11B65" w:rsidP="00C11B65">
      <w:pPr>
        <w:suppressAutoHyphens/>
        <w:autoSpaceDE w:val="0"/>
        <w:ind w:left="720"/>
        <w:rPr>
          <w:rFonts w:eastAsia="Calibri"/>
          <w:lang w:eastAsia="zh-CN"/>
        </w:rPr>
      </w:pPr>
    </w:p>
    <w:p w:rsidR="00C11B65" w:rsidRPr="00C11B65" w:rsidRDefault="002B2A89" w:rsidP="00C11B65">
      <w:pPr>
        <w:tabs>
          <w:tab w:val="left" w:pos="7371"/>
        </w:tabs>
        <w:suppressAutoHyphens/>
        <w:rPr>
          <w:sz w:val="20"/>
          <w:szCs w:val="20"/>
          <w:lang w:eastAsia="zh-CN"/>
        </w:rPr>
      </w:pPr>
      <w:r>
        <w:rPr>
          <w:lang w:eastAsia="zh-CN"/>
        </w:rPr>
        <w:t xml:space="preserve">Direktore                                                  /paraksts/                                                      </w:t>
      </w:r>
      <w:proofErr w:type="spellStart"/>
      <w:r w:rsidR="00C11B65" w:rsidRPr="00C11B65">
        <w:rPr>
          <w:lang w:eastAsia="zh-CN"/>
        </w:rPr>
        <w:t>I.L.Lazdiņa</w:t>
      </w:r>
      <w:proofErr w:type="spellEnd"/>
    </w:p>
    <w:sectPr w:rsidR="00C11B65" w:rsidRPr="00C11B65" w:rsidSect="002A4544">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F2" w:rsidRDefault="00464EF2" w:rsidP="00C432D4">
      <w:r>
        <w:separator/>
      </w:r>
    </w:p>
  </w:endnote>
  <w:endnote w:type="continuationSeparator" w:id="0">
    <w:p w:rsidR="00464EF2" w:rsidRDefault="00464EF2"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F2" w:rsidRDefault="00464EF2" w:rsidP="00C432D4">
      <w:r>
        <w:separator/>
      </w:r>
    </w:p>
  </w:footnote>
  <w:footnote w:type="continuationSeparator" w:id="0">
    <w:p w:rsidR="00464EF2" w:rsidRDefault="00464EF2"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38951"/>
      <w:docPartObj>
        <w:docPartGallery w:val="Page Numbers (Top of Page)"/>
        <w:docPartUnique/>
      </w:docPartObj>
    </w:sdtPr>
    <w:sdtEndPr/>
    <w:sdtContent>
      <w:p w:rsidR="00C11B65" w:rsidRDefault="00C11B65">
        <w:pPr>
          <w:pStyle w:val="Galvene"/>
          <w:jc w:val="center"/>
        </w:pPr>
        <w:r>
          <w:fldChar w:fldCharType="begin"/>
        </w:r>
        <w:r>
          <w:instrText>PAGE   \* MERGEFORMAT</w:instrText>
        </w:r>
        <w:r>
          <w:fldChar w:fldCharType="separate"/>
        </w:r>
        <w:r w:rsidR="002A4544">
          <w:rPr>
            <w:noProof/>
          </w:rPr>
          <w:t>5</w:t>
        </w:r>
        <w:r>
          <w:fldChar w:fldCharType="end"/>
        </w:r>
      </w:p>
    </w:sdtContent>
  </w:sdt>
  <w:p w:rsidR="00C11B65" w:rsidRDefault="00C11B6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09" w:rsidRDefault="00D33E51">
    <w:pPr>
      <w:pStyle w:val="Galvene"/>
    </w:pPr>
    <w:r>
      <w:rPr>
        <w:noProof/>
      </w:rPr>
      <w:drawing>
        <wp:anchor distT="0" distB="0" distL="114300" distR="114300" simplePos="0" relativeHeight="251658240" behindDoc="0" locked="0" layoutInCell="1" allowOverlap="1" wp14:anchorId="4910FD07">
          <wp:simplePos x="0" y="0"/>
          <wp:positionH relativeFrom="page">
            <wp:align>left</wp:align>
          </wp:positionH>
          <wp:positionV relativeFrom="paragraph">
            <wp:posOffset>-450215</wp:posOffset>
          </wp:positionV>
          <wp:extent cx="7553960" cy="2571750"/>
          <wp:effectExtent l="0" t="0" r="8890" b="0"/>
          <wp:wrapThrough wrapText="bothSides">
            <wp:wrapPolygon edited="0">
              <wp:start x="0" y="0"/>
              <wp:lineTo x="0" y="21440"/>
              <wp:lineTo x="21571" y="21440"/>
              <wp:lineTo x="2157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5692" cy="25789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24F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D77B5"/>
    <w:multiLevelType w:val="hybridMultilevel"/>
    <w:tmpl w:val="DBC46706"/>
    <w:lvl w:ilvl="0" w:tplc="D8B67432">
      <w:start w:val="1"/>
      <w:numFmt w:val="decimal"/>
      <w:lvlText w:val="45.%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1B96C43"/>
    <w:multiLevelType w:val="hybridMultilevel"/>
    <w:tmpl w:val="74DED79A"/>
    <w:lvl w:ilvl="0" w:tplc="C51E8F94">
      <w:start w:val="1"/>
      <w:numFmt w:val="decimal"/>
      <w:lvlText w:val="44.%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BEA410E"/>
    <w:multiLevelType w:val="hybridMultilevel"/>
    <w:tmpl w:val="E1423254"/>
    <w:lvl w:ilvl="0" w:tplc="AC000530">
      <w:start w:val="1"/>
      <w:numFmt w:val="decimal"/>
      <w:lvlText w:val="17.%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FA94B86"/>
    <w:multiLevelType w:val="hybridMultilevel"/>
    <w:tmpl w:val="D2908BD8"/>
    <w:lvl w:ilvl="0" w:tplc="86284288">
      <w:start w:val="1"/>
      <w:numFmt w:val="decimal"/>
      <w:lvlText w:val="58.%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51ED3DF9"/>
    <w:multiLevelType w:val="multilevel"/>
    <w:tmpl w:val="BC3CC418"/>
    <w:lvl w:ilvl="0">
      <w:start w:val="1"/>
      <w:numFmt w:val="decimal"/>
      <w:lvlText w:val="%1."/>
      <w:lvlJc w:val="left"/>
      <w:pPr>
        <w:ind w:left="720" w:hanging="360"/>
      </w:pPr>
      <w:rPr>
        <w:color w:val="000000"/>
        <w:sz w:val="24"/>
        <w:szCs w:val="24"/>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23DA0"/>
    <w:rsid w:val="0009600B"/>
    <w:rsid w:val="001443B1"/>
    <w:rsid w:val="001F3440"/>
    <w:rsid w:val="00252DD7"/>
    <w:rsid w:val="002813AE"/>
    <w:rsid w:val="002A4544"/>
    <w:rsid w:val="002B2A89"/>
    <w:rsid w:val="002E5E09"/>
    <w:rsid w:val="00300809"/>
    <w:rsid w:val="00464EF2"/>
    <w:rsid w:val="00583731"/>
    <w:rsid w:val="00590CCD"/>
    <w:rsid w:val="00696EC3"/>
    <w:rsid w:val="008E5114"/>
    <w:rsid w:val="00934B09"/>
    <w:rsid w:val="00A90046"/>
    <w:rsid w:val="00AC54D0"/>
    <w:rsid w:val="00BD0486"/>
    <w:rsid w:val="00BD3726"/>
    <w:rsid w:val="00C06718"/>
    <w:rsid w:val="00C11B65"/>
    <w:rsid w:val="00C35763"/>
    <w:rsid w:val="00C432D4"/>
    <w:rsid w:val="00CD5EDF"/>
    <w:rsid w:val="00D33E51"/>
    <w:rsid w:val="00D70E47"/>
    <w:rsid w:val="00D87575"/>
    <w:rsid w:val="00FD489E"/>
    <w:rsid w:val="00FD4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440936-84A5-4C04-948A-CA181283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Balonteksts">
    <w:name w:val="Balloon Text"/>
    <w:basedOn w:val="Parasts"/>
    <w:link w:val="BalontekstsRakstz"/>
    <w:uiPriority w:val="99"/>
    <w:semiHidden/>
    <w:unhideWhenUsed/>
    <w:rsid w:val="00C11B6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11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3177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9858</Words>
  <Characters>5620</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cp:revision>
  <cp:lastPrinted>2020-03-31T09:53:00Z</cp:lastPrinted>
  <dcterms:created xsi:type="dcterms:W3CDTF">2018-06-29T10:22:00Z</dcterms:created>
  <dcterms:modified xsi:type="dcterms:W3CDTF">2020-03-31T09:53:00Z</dcterms:modified>
</cp:coreProperties>
</file>