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9390C" w14:textId="77777777" w:rsidR="00DF554D" w:rsidRPr="007F4B5E" w:rsidRDefault="00DF554D" w:rsidP="00ED2BBB">
      <w:pPr>
        <w:jc w:val="center"/>
        <w:rPr>
          <w:b/>
          <w:sz w:val="28"/>
          <w:szCs w:val="28"/>
        </w:rPr>
      </w:pPr>
    </w:p>
    <w:p w14:paraId="23F446EA" w14:textId="77777777" w:rsidR="00AF6174" w:rsidRPr="00AF6174" w:rsidRDefault="00AF6174" w:rsidP="00AF6174">
      <w:pPr>
        <w:jc w:val="center"/>
        <w:rPr>
          <w:rFonts w:eastAsia="Times New Roman"/>
          <w:b/>
          <w:szCs w:val="24"/>
          <w:lang w:eastAsia="lv-LV"/>
        </w:rPr>
      </w:pPr>
      <w:r w:rsidRPr="00AF6174">
        <w:rPr>
          <w:rFonts w:eastAsia="Times New Roman"/>
          <w:b/>
          <w:szCs w:val="24"/>
          <w:lang w:eastAsia="lv-LV"/>
        </w:rPr>
        <w:t>SAISTOŠIE NOTEIKUMI</w:t>
      </w:r>
    </w:p>
    <w:p w14:paraId="6D5142AA" w14:textId="77777777" w:rsidR="00AF6174" w:rsidRPr="00AF6174" w:rsidRDefault="00AF6174" w:rsidP="00AF6174">
      <w:pPr>
        <w:jc w:val="center"/>
        <w:rPr>
          <w:rFonts w:eastAsia="Times New Roman"/>
          <w:szCs w:val="24"/>
          <w:lang w:eastAsia="lv-LV"/>
        </w:rPr>
      </w:pPr>
      <w:r w:rsidRPr="00AF6174">
        <w:rPr>
          <w:rFonts w:eastAsia="Times New Roman"/>
          <w:szCs w:val="24"/>
          <w:lang w:eastAsia="lv-LV"/>
        </w:rPr>
        <w:t>Limbažos</w:t>
      </w:r>
    </w:p>
    <w:p w14:paraId="617774C8" w14:textId="77777777" w:rsidR="00AF6174" w:rsidRPr="00AF6174" w:rsidRDefault="00AF6174" w:rsidP="00AF6174">
      <w:pPr>
        <w:tabs>
          <w:tab w:val="left" w:pos="7152"/>
        </w:tabs>
        <w:rPr>
          <w:rFonts w:eastAsia="Times New Roman"/>
          <w:szCs w:val="24"/>
          <w:lang w:eastAsia="lv-LV"/>
        </w:rPr>
      </w:pPr>
    </w:p>
    <w:p w14:paraId="3EC814C4" w14:textId="77F6B2BD" w:rsidR="00AF6174" w:rsidRPr="00AF6174" w:rsidRDefault="00AF6174" w:rsidP="00AF6174">
      <w:pPr>
        <w:tabs>
          <w:tab w:val="left" w:pos="7152"/>
        </w:tabs>
        <w:rPr>
          <w:rFonts w:eastAsia="Times New Roman"/>
          <w:szCs w:val="24"/>
          <w:lang w:eastAsia="lv-LV"/>
        </w:rPr>
      </w:pPr>
      <w:r w:rsidRPr="00AF6174">
        <w:rPr>
          <w:rFonts w:eastAsia="Times New Roman"/>
          <w:szCs w:val="24"/>
          <w:lang w:eastAsia="lv-LV"/>
        </w:rPr>
        <w:t xml:space="preserve">2021. gada </w:t>
      </w:r>
      <w:r w:rsidR="00AC6BD7">
        <w:rPr>
          <w:rFonts w:eastAsia="Times New Roman"/>
          <w:szCs w:val="24"/>
          <w:lang w:eastAsia="lv-LV"/>
        </w:rPr>
        <w:t>25</w:t>
      </w:r>
      <w:r w:rsidRPr="00AF6174">
        <w:rPr>
          <w:rFonts w:eastAsia="Times New Roman"/>
          <w:szCs w:val="24"/>
          <w:lang w:eastAsia="lv-LV"/>
        </w:rPr>
        <w:t>. martā</w:t>
      </w:r>
      <w:r w:rsidRPr="00AF6174">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sidR="00AC6BD7">
        <w:rPr>
          <w:rFonts w:eastAsia="Times New Roman"/>
          <w:szCs w:val="24"/>
          <w:lang w:eastAsia="lv-LV"/>
        </w:rPr>
        <w:tab/>
      </w:r>
      <w:r w:rsidRPr="00AF6174">
        <w:rPr>
          <w:rFonts w:eastAsia="Times New Roman"/>
          <w:szCs w:val="24"/>
          <w:lang w:eastAsia="lv-LV"/>
        </w:rPr>
        <w:t>Nr.</w:t>
      </w:r>
      <w:r w:rsidR="00AC6BD7">
        <w:rPr>
          <w:rFonts w:eastAsia="Times New Roman"/>
          <w:szCs w:val="24"/>
          <w:lang w:eastAsia="lv-LV"/>
        </w:rPr>
        <w:t xml:space="preserve"> 5</w:t>
      </w:r>
    </w:p>
    <w:p w14:paraId="1CD18390" w14:textId="77777777" w:rsidR="00AF6174" w:rsidRPr="00AF6174" w:rsidRDefault="00AF6174" w:rsidP="00AF6174">
      <w:pPr>
        <w:tabs>
          <w:tab w:val="left" w:pos="7152"/>
        </w:tabs>
        <w:rPr>
          <w:rFonts w:eastAsia="Times New Roman"/>
          <w:szCs w:val="24"/>
          <w:lang w:eastAsia="lv-LV"/>
        </w:rPr>
      </w:pPr>
    </w:p>
    <w:p w14:paraId="2CB0F56B" w14:textId="77777777" w:rsidR="00AF6174" w:rsidRPr="00AF6174" w:rsidRDefault="00AF6174" w:rsidP="00AF6174">
      <w:pPr>
        <w:jc w:val="right"/>
        <w:rPr>
          <w:rFonts w:eastAsia="Times New Roman"/>
          <w:b/>
          <w:szCs w:val="24"/>
          <w:lang w:eastAsia="lv-LV"/>
        </w:rPr>
      </w:pPr>
      <w:r w:rsidRPr="00AF6174">
        <w:rPr>
          <w:rFonts w:eastAsia="Times New Roman"/>
          <w:b/>
          <w:szCs w:val="24"/>
          <w:lang w:eastAsia="lv-LV"/>
        </w:rPr>
        <w:t>APSTIPRINĀTI</w:t>
      </w:r>
    </w:p>
    <w:p w14:paraId="1BC3D600" w14:textId="77777777" w:rsidR="00AF6174" w:rsidRPr="00AF6174" w:rsidRDefault="00AF6174" w:rsidP="00AF6174">
      <w:pPr>
        <w:jc w:val="right"/>
        <w:rPr>
          <w:rFonts w:eastAsia="Times New Roman"/>
          <w:szCs w:val="24"/>
          <w:lang w:eastAsia="lv-LV"/>
        </w:rPr>
      </w:pPr>
      <w:r w:rsidRPr="00AF6174">
        <w:rPr>
          <w:rFonts w:eastAsia="Times New Roman"/>
          <w:szCs w:val="24"/>
          <w:lang w:eastAsia="lv-LV"/>
        </w:rPr>
        <w:t>ar Limbažu novada domes</w:t>
      </w:r>
    </w:p>
    <w:p w14:paraId="42F58675" w14:textId="7F2712FB" w:rsidR="00AF6174" w:rsidRPr="00AF6174" w:rsidRDefault="00AC6BD7" w:rsidP="00AF6174">
      <w:pPr>
        <w:jc w:val="right"/>
        <w:rPr>
          <w:rFonts w:eastAsia="Times New Roman"/>
          <w:szCs w:val="24"/>
          <w:lang w:eastAsia="lv-LV"/>
        </w:rPr>
      </w:pPr>
      <w:r>
        <w:rPr>
          <w:rFonts w:eastAsia="Times New Roman"/>
          <w:szCs w:val="24"/>
          <w:lang w:eastAsia="lv-LV"/>
        </w:rPr>
        <w:t>25</w:t>
      </w:r>
      <w:r w:rsidR="00AF6174" w:rsidRPr="00AF6174">
        <w:rPr>
          <w:rFonts w:eastAsia="Times New Roman"/>
          <w:szCs w:val="24"/>
          <w:lang w:eastAsia="lv-LV"/>
        </w:rPr>
        <w:t>.03.2021. sēdes lēmumu</w:t>
      </w:r>
    </w:p>
    <w:p w14:paraId="603402C7" w14:textId="2F9E054D" w:rsidR="00AF6174" w:rsidRPr="00AF6174" w:rsidRDefault="00AF6174" w:rsidP="00AF6174">
      <w:pPr>
        <w:jc w:val="right"/>
        <w:rPr>
          <w:rFonts w:eastAsia="Times New Roman"/>
          <w:szCs w:val="24"/>
          <w:lang w:eastAsia="lv-LV"/>
        </w:rPr>
      </w:pPr>
      <w:r w:rsidRPr="00AF6174">
        <w:rPr>
          <w:rFonts w:eastAsia="Times New Roman"/>
          <w:szCs w:val="24"/>
          <w:lang w:eastAsia="lv-LV"/>
        </w:rPr>
        <w:t xml:space="preserve"> (protokols Nr.</w:t>
      </w:r>
      <w:r w:rsidR="00AC6BD7">
        <w:rPr>
          <w:rFonts w:eastAsia="Times New Roman"/>
          <w:szCs w:val="24"/>
          <w:lang w:eastAsia="lv-LV"/>
        </w:rPr>
        <w:t>7</w:t>
      </w:r>
      <w:r w:rsidRPr="00AF6174">
        <w:rPr>
          <w:rFonts w:eastAsia="Times New Roman"/>
          <w:szCs w:val="24"/>
          <w:lang w:eastAsia="lv-LV"/>
        </w:rPr>
        <w:t xml:space="preserve">, </w:t>
      </w:r>
      <w:r w:rsidR="00AC6BD7">
        <w:rPr>
          <w:rFonts w:eastAsia="Times New Roman"/>
          <w:szCs w:val="24"/>
          <w:lang w:eastAsia="lv-LV"/>
        </w:rPr>
        <w:t>31</w:t>
      </w:r>
      <w:r w:rsidRPr="00AF6174">
        <w:rPr>
          <w:rFonts w:eastAsia="Times New Roman"/>
          <w:szCs w:val="24"/>
          <w:lang w:eastAsia="lv-LV"/>
        </w:rPr>
        <w:t>.§)</w:t>
      </w:r>
    </w:p>
    <w:p w14:paraId="465B890C" w14:textId="77777777" w:rsidR="00AF6174" w:rsidRPr="00AF6174" w:rsidRDefault="00AF6174" w:rsidP="00AF6174">
      <w:pPr>
        <w:jc w:val="center"/>
        <w:rPr>
          <w:rFonts w:eastAsia="Times New Roman"/>
          <w:b/>
          <w:szCs w:val="24"/>
          <w:lang w:eastAsia="lv-LV"/>
        </w:rPr>
      </w:pPr>
    </w:p>
    <w:p w14:paraId="40A57BC2" w14:textId="77777777" w:rsidR="00AF6174" w:rsidRPr="00AF6174" w:rsidRDefault="00AF6174" w:rsidP="00AF6174">
      <w:pPr>
        <w:jc w:val="center"/>
        <w:rPr>
          <w:rFonts w:eastAsia="Times New Roman"/>
          <w:b/>
          <w:szCs w:val="24"/>
          <w:lang w:eastAsia="lv-LV"/>
        </w:rPr>
      </w:pPr>
      <w:r w:rsidRPr="00AF6174">
        <w:rPr>
          <w:rFonts w:eastAsia="Times New Roman"/>
          <w:b/>
          <w:szCs w:val="24"/>
          <w:lang w:eastAsia="lv-LV"/>
        </w:rPr>
        <w:t>Grozījumi Limbažu novada pašvaldības 2020.gada 27.februāra saistošajos noteikumos Nr. 3</w:t>
      </w:r>
    </w:p>
    <w:p w14:paraId="2789989F" w14:textId="77777777" w:rsidR="00AF6174" w:rsidRPr="00AF6174" w:rsidRDefault="00AF6174" w:rsidP="00AF6174">
      <w:pPr>
        <w:jc w:val="center"/>
        <w:rPr>
          <w:rFonts w:eastAsia="Times New Roman"/>
          <w:b/>
          <w:szCs w:val="24"/>
          <w:lang w:eastAsia="lv-LV"/>
        </w:rPr>
      </w:pPr>
      <w:r w:rsidRPr="00AF6174">
        <w:rPr>
          <w:rFonts w:eastAsia="Times New Roman"/>
          <w:b/>
          <w:szCs w:val="24"/>
          <w:lang w:eastAsia="lv-LV"/>
        </w:rPr>
        <w:t xml:space="preserve"> “Par augstas detalizācijas topogrāfiskās informācijas aprites kārtību Limbažu novadā”</w:t>
      </w:r>
    </w:p>
    <w:p w14:paraId="64B0C8C0" w14:textId="77777777" w:rsidR="00AF6174" w:rsidRPr="00AF6174" w:rsidRDefault="00AF6174" w:rsidP="00AF6174">
      <w:pPr>
        <w:jc w:val="right"/>
        <w:rPr>
          <w:rFonts w:eastAsia="Times New Roman"/>
          <w:i/>
          <w:szCs w:val="24"/>
          <w:lang w:eastAsia="lv-LV"/>
        </w:rPr>
      </w:pPr>
    </w:p>
    <w:p w14:paraId="6D126868" w14:textId="77777777" w:rsidR="00AF6174" w:rsidRPr="00AF6174" w:rsidRDefault="00AF6174" w:rsidP="00AF6174">
      <w:pPr>
        <w:jc w:val="right"/>
        <w:rPr>
          <w:rFonts w:eastAsia="Times New Roman"/>
          <w:i/>
          <w:sz w:val="22"/>
          <w:lang w:eastAsia="lv-LV"/>
        </w:rPr>
      </w:pPr>
      <w:r w:rsidRPr="00AF6174">
        <w:rPr>
          <w:rFonts w:eastAsia="Times New Roman"/>
          <w:i/>
          <w:sz w:val="22"/>
          <w:lang w:eastAsia="lv-LV"/>
        </w:rPr>
        <w:t>Izdoti saskaņā ar</w:t>
      </w:r>
    </w:p>
    <w:p w14:paraId="763C44E1" w14:textId="5C3E36E9" w:rsidR="00AF6174" w:rsidRPr="00AF6174" w:rsidRDefault="00AF6174" w:rsidP="00AF6174">
      <w:pPr>
        <w:jc w:val="right"/>
        <w:rPr>
          <w:rFonts w:eastAsia="Times New Roman"/>
          <w:i/>
          <w:iCs/>
          <w:sz w:val="22"/>
          <w:lang w:eastAsia="lv-LV"/>
        </w:rPr>
      </w:pPr>
      <w:r w:rsidRPr="00AF6174">
        <w:rPr>
          <w:rFonts w:eastAsia="Times New Roman"/>
          <w:i/>
          <w:sz w:val="22"/>
          <w:lang w:eastAsia="lv-LV"/>
        </w:rPr>
        <w:t xml:space="preserve">likuma „Par pašvaldībām” </w:t>
      </w:r>
      <w:r w:rsidRPr="00AF6174">
        <w:rPr>
          <w:rFonts w:eastAsia="Times New Roman"/>
          <w:i/>
          <w:iCs/>
          <w:sz w:val="22"/>
          <w:lang w:eastAsia="lv-LV"/>
        </w:rPr>
        <w:t>43. panta pirmās daļas 1. un 13. punktu</w:t>
      </w:r>
      <w:r w:rsidR="00AC6BD7">
        <w:rPr>
          <w:rFonts w:eastAsia="Times New Roman"/>
          <w:i/>
          <w:iCs/>
          <w:sz w:val="22"/>
          <w:lang w:eastAsia="lv-LV"/>
        </w:rPr>
        <w:t>,</w:t>
      </w:r>
    </w:p>
    <w:p w14:paraId="012B698C" w14:textId="77777777" w:rsidR="00AF6174" w:rsidRPr="00AF6174" w:rsidRDefault="00AF6174" w:rsidP="00AF6174">
      <w:pPr>
        <w:ind w:left="1080"/>
        <w:contextualSpacing/>
        <w:jc w:val="right"/>
        <w:rPr>
          <w:i/>
          <w:sz w:val="22"/>
        </w:rPr>
      </w:pPr>
      <w:r w:rsidRPr="00AF6174">
        <w:rPr>
          <w:i/>
          <w:sz w:val="22"/>
        </w:rPr>
        <w:t xml:space="preserve"> Ģeotelpiskās informācijas likuma</w:t>
      </w:r>
    </w:p>
    <w:p w14:paraId="797CD26F" w14:textId="77777777" w:rsidR="00AF6174" w:rsidRPr="00AF6174" w:rsidRDefault="00AF6174" w:rsidP="00AF6174">
      <w:pPr>
        <w:ind w:left="1080" w:hanging="371"/>
        <w:contextualSpacing/>
        <w:jc w:val="right"/>
        <w:rPr>
          <w:i/>
          <w:sz w:val="22"/>
        </w:rPr>
      </w:pPr>
      <w:r w:rsidRPr="00AF6174">
        <w:rPr>
          <w:i/>
          <w:sz w:val="22"/>
        </w:rPr>
        <w:t>13. panta sesto daļu un 26. panta trešo daļu,</w:t>
      </w:r>
    </w:p>
    <w:p w14:paraId="44A1DD78" w14:textId="77777777" w:rsidR="00AF6174" w:rsidRPr="00AF6174" w:rsidRDefault="00AF6174" w:rsidP="00AF6174">
      <w:pPr>
        <w:ind w:left="1080"/>
        <w:contextualSpacing/>
        <w:jc w:val="right"/>
        <w:rPr>
          <w:i/>
          <w:sz w:val="22"/>
        </w:rPr>
      </w:pPr>
      <w:r w:rsidRPr="00AF6174">
        <w:rPr>
          <w:i/>
          <w:sz w:val="22"/>
        </w:rPr>
        <w:t>Ministru kabineta 2012. gada 24. aprīļa noteikumu Nr. 281</w:t>
      </w:r>
    </w:p>
    <w:p w14:paraId="10BA0E40" w14:textId="77777777" w:rsidR="00AF6174" w:rsidRPr="00AF6174" w:rsidRDefault="00AF6174" w:rsidP="00AF6174">
      <w:pPr>
        <w:ind w:left="1080"/>
        <w:contextualSpacing/>
        <w:jc w:val="right"/>
        <w:rPr>
          <w:i/>
          <w:sz w:val="22"/>
        </w:rPr>
      </w:pPr>
      <w:r w:rsidRPr="00AF6174">
        <w:rPr>
          <w:i/>
          <w:sz w:val="22"/>
        </w:rPr>
        <w:t>,,Augstas detalizācijas topogrāfiskās informācijas</w:t>
      </w:r>
    </w:p>
    <w:p w14:paraId="4CC175EE" w14:textId="77777777" w:rsidR="00AF6174" w:rsidRPr="00AF6174" w:rsidRDefault="00AF6174" w:rsidP="00AF6174">
      <w:pPr>
        <w:ind w:left="1080"/>
        <w:contextualSpacing/>
        <w:jc w:val="right"/>
        <w:rPr>
          <w:i/>
          <w:sz w:val="22"/>
        </w:rPr>
      </w:pPr>
      <w:r w:rsidRPr="00AF6174">
        <w:rPr>
          <w:i/>
          <w:sz w:val="22"/>
        </w:rPr>
        <w:t xml:space="preserve"> un tās centrālās datu bāzes noteikumu” 69. un 79. punktu</w:t>
      </w:r>
    </w:p>
    <w:p w14:paraId="34D60CA5" w14:textId="77777777" w:rsidR="00AF6174" w:rsidRPr="00AF6174" w:rsidRDefault="00AF6174" w:rsidP="00AF6174">
      <w:pPr>
        <w:tabs>
          <w:tab w:val="left" w:pos="8364"/>
        </w:tabs>
        <w:rPr>
          <w:rFonts w:eastAsia="Times New Roman"/>
          <w:szCs w:val="24"/>
          <w:lang w:eastAsia="lv-LV"/>
        </w:rPr>
      </w:pPr>
    </w:p>
    <w:p w14:paraId="12AFDFF9" w14:textId="77777777" w:rsidR="00AF6174" w:rsidRPr="00AF6174" w:rsidRDefault="00AF6174" w:rsidP="00AF6174">
      <w:pPr>
        <w:ind w:firstLine="851"/>
        <w:jc w:val="both"/>
        <w:rPr>
          <w:rFonts w:eastAsia="Times New Roman"/>
          <w:szCs w:val="24"/>
          <w:lang w:eastAsia="lv-LV"/>
        </w:rPr>
      </w:pPr>
      <w:r w:rsidRPr="00AF6174">
        <w:rPr>
          <w:rFonts w:eastAsia="Times New Roman"/>
          <w:szCs w:val="24"/>
          <w:lang w:eastAsia="lv-LV"/>
        </w:rPr>
        <w:t>Grozīt Limbažu novada pašvaldības 2020.gada 27.februāra saistošo noteikumu Nr. 3 “Par augstas detalizācijas topogrāfiskās informācijas aprites kārtību Limbažu novadā” pielikumu “Maksa par datu, kuri satur augstas detalizācijas topogrāfisko informāciju, pārbaudi, reģistrāciju Limbažu novada pašvaldības datubāzē, sagatavošanu un izsniegšanu no datubāzes”, izsakot to šādā redakcijā:</w:t>
      </w:r>
    </w:p>
    <w:p w14:paraId="0F207691" w14:textId="29CA9884" w:rsidR="008D353E" w:rsidRDefault="008D353E">
      <w:pPr>
        <w:rPr>
          <w:rFonts w:eastAsia="Times New Roman"/>
          <w:szCs w:val="24"/>
          <w:lang w:eastAsia="lv-LV"/>
        </w:rPr>
      </w:pPr>
      <w:r>
        <w:br w:type="page"/>
      </w:r>
    </w:p>
    <w:p w14:paraId="72D55D87" w14:textId="77777777" w:rsidR="00AF6174" w:rsidRPr="00AF6174" w:rsidRDefault="00AF6174" w:rsidP="00AF6174">
      <w:pPr>
        <w:jc w:val="right"/>
        <w:rPr>
          <w:rFonts w:eastAsia="Times New Roman"/>
          <w:b/>
          <w:szCs w:val="24"/>
          <w:lang w:eastAsia="lv-LV"/>
        </w:rPr>
      </w:pPr>
      <w:r w:rsidRPr="00AF6174">
        <w:rPr>
          <w:rFonts w:eastAsia="Times New Roman"/>
          <w:b/>
          <w:szCs w:val="24"/>
          <w:lang w:eastAsia="lv-LV"/>
        </w:rPr>
        <w:lastRenderedPageBreak/>
        <w:t>“PIELIKUMS</w:t>
      </w:r>
    </w:p>
    <w:p w14:paraId="7E7204B1" w14:textId="77777777" w:rsidR="00AF6174" w:rsidRPr="00AF6174" w:rsidRDefault="00AF6174" w:rsidP="00AF6174">
      <w:pPr>
        <w:jc w:val="right"/>
        <w:rPr>
          <w:rFonts w:eastAsia="Times New Roman"/>
          <w:szCs w:val="24"/>
          <w:lang w:eastAsia="lv-LV"/>
        </w:rPr>
      </w:pPr>
      <w:r w:rsidRPr="00AF6174">
        <w:rPr>
          <w:rFonts w:eastAsia="Times New Roman"/>
          <w:szCs w:val="24"/>
          <w:lang w:eastAsia="lv-LV"/>
        </w:rPr>
        <w:t xml:space="preserve">Limbažu novada pašvaldības </w:t>
      </w:r>
    </w:p>
    <w:p w14:paraId="772AF5DB" w14:textId="77777777" w:rsidR="00AF6174" w:rsidRPr="00AF6174" w:rsidRDefault="00AF6174" w:rsidP="00AF6174">
      <w:pPr>
        <w:jc w:val="right"/>
        <w:rPr>
          <w:rFonts w:eastAsia="Times New Roman"/>
          <w:szCs w:val="24"/>
          <w:lang w:eastAsia="lv-LV"/>
        </w:rPr>
      </w:pPr>
      <w:r w:rsidRPr="00AF6174">
        <w:rPr>
          <w:rFonts w:eastAsia="Times New Roman"/>
          <w:szCs w:val="24"/>
          <w:lang w:eastAsia="lv-LV"/>
        </w:rPr>
        <w:t xml:space="preserve">27.02.2020. saistošajiem noteikumiem Nr. 3 </w:t>
      </w:r>
    </w:p>
    <w:p w14:paraId="4626C0A1" w14:textId="77777777" w:rsidR="00AF6174" w:rsidRPr="00AF6174" w:rsidRDefault="00AF6174" w:rsidP="00AF6174">
      <w:pPr>
        <w:jc w:val="right"/>
        <w:rPr>
          <w:rFonts w:eastAsia="Times New Roman"/>
          <w:szCs w:val="24"/>
          <w:lang w:eastAsia="lv-LV"/>
        </w:rPr>
      </w:pPr>
      <w:r w:rsidRPr="00AF6174">
        <w:rPr>
          <w:rFonts w:eastAsia="Times New Roman"/>
          <w:szCs w:val="24"/>
          <w:lang w:eastAsia="lv-LV"/>
        </w:rPr>
        <w:t xml:space="preserve"> “Par augstas detalizācijas topogrāfiskās </w:t>
      </w:r>
    </w:p>
    <w:p w14:paraId="57B8B3E2" w14:textId="77777777" w:rsidR="00AF6174" w:rsidRPr="00AF6174" w:rsidRDefault="00AF6174" w:rsidP="00AF6174">
      <w:pPr>
        <w:jc w:val="right"/>
        <w:rPr>
          <w:rFonts w:eastAsia="Times New Roman"/>
          <w:szCs w:val="24"/>
          <w:lang w:eastAsia="lv-LV"/>
        </w:rPr>
      </w:pPr>
      <w:r w:rsidRPr="00AF6174">
        <w:rPr>
          <w:rFonts w:eastAsia="Times New Roman"/>
          <w:szCs w:val="24"/>
          <w:lang w:eastAsia="lv-LV"/>
        </w:rPr>
        <w:t>informācijas aprites kārtību Limbažu novadā”</w:t>
      </w:r>
    </w:p>
    <w:p w14:paraId="63D9C54F" w14:textId="77777777" w:rsidR="00AF6174" w:rsidRPr="00AF6174" w:rsidRDefault="00AF6174" w:rsidP="00AF6174">
      <w:pPr>
        <w:jc w:val="right"/>
        <w:rPr>
          <w:rFonts w:eastAsia="Times New Roman"/>
          <w:szCs w:val="24"/>
          <w:lang w:eastAsia="lv-LV"/>
        </w:rPr>
      </w:pPr>
    </w:p>
    <w:p w14:paraId="34734A3B" w14:textId="77777777" w:rsidR="00AF6174" w:rsidRPr="00AF6174" w:rsidRDefault="00AF6174" w:rsidP="00AF6174">
      <w:pPr>
        <w:tabs>
          <w:tab w:val="left" w:pos="3408"/>
        </w:tabs>
        <w:jc w:val="center"/>
        <w:rPr>
          <w:rFonts w:eastAsia="Times New Roman"/>
          <w:b/>
          <w:sz w:val="28"/>
          <w:szCs w:val="28"/>
          <w:lang w:eastAsia="lv-LV"/>
        </w:rPr>
      </w:pPr>
      <w:r w:rsidRPr="00AF6174">
        <w:rPr>
          <w:rFonts w:eastAsia="Times New Roman"/>
          <w:b/>
          <w:sz w:val="28"/>
          <w:szCs w:val="28"/>
          <w:lang w:eastAsia="lv-LV"/>
        </w:rPr>
        <w:t>Maksa par datu, kuri satur augstas detalizācijas topogrāfisko informāciju,</w:t>
      </w:r>
    </w:p>
    <w:p w14:paraId="45F38DCE" w14:textId="77777777" w:rsidR="00AF6174" w:rsidRPr="00AF6174" w:rsidRDefault="00AF6174" w:rsidP="00AF6174">
      <w:pPr>
        <w:tabs>
          <w:tab w:val="left" w:pos="3408"/>
        </w:tabs>
        <w:jc w:val="center"/>
        <w:rPr>
          <w:rFonts w:eastAsia="Times New Roman"/>
          <w:b/>
          <w:sz w:val="28"/>
          <w:szCs w:val="28"/>
          <w:lang w:eastAsia="lv-LV"/>
        </w:rPr>
      </w:pPr>
      <w:r w:rsidRPr="00AF6174">
        <w:rPr>
          <w:rFonts w:eastAsia="Times New Roman"/>
          <w:b/>
          <w:sz w:val="28"/>
          <w:szCs w:val="28"/>
          <w:lang w:eastAsia="lv-LV"/>
        </w:rPr>
        <w:t>pārbaudi, reģistrāciju Limbažu novada pašvaldības datubāzē,</w:t>
      </w:r>
    </w:p>
    <w:p w14:paraId="2B93DF8B" w14:textId="77777777" w:rsidR="00AF6174" w:rsidRDefault="00AF6174" w:rsidP="00AF6174">
      <w:pPr>
        <w:tabs>
          <w:tab w:val="left" w:pos="3408"/>
        </w:tabs>
        <w:jc w:val="center"/>
        <w:rPr>
          <w:rFonts w:eastAsia="Times New Roman"/>
          <w:b/>
          <w:sz w:val="28"/>
          <w:szCs w:val="28"/>
          <w:lang w:eastAsia="lv-LV"/>
        </w:rPr>
      </w:pPr>
      <w:r w:rsidRPr="00AF6174">
        <w:rPr>
          <w:rFonts w:eastAsia="Times New Roman"/>
          <w:b/>
          <w:sz w:val="28"/>
          <w:szCs w:val="28"/>
          <w:lang w:eastAsia="lv-LV"/>
        </w:rPr>
        <w:t>sagatavošanu un izsniegšanu no datubāzes</w:t>
      </w:r>
    </w:p>
    <w:p w14:paraId="62F3AAD1" w14:textId="77777777" w:rsidR="00AF6174" w:rsidRPr="00AF6174" w:rsidRDefault="00AF6174" w:rsidP="00AF6174">
      <w:pPr>
        <w:tabs>
          <w:tab w:val="left" w:pos="3408"/>
        </w:tabs>
        <w:jc w:val="center"/>
        <w:rPr>
          <w:rFonts w:eastAsia="Times New Roman"/>
          <w:b/>
          <w:sz w:val="28"/>
          <w:szCs w:val="28"/>
          <w:lang w:eastAsia="lv-LV"/>
        </w:rPr>
      </w:pPr>
    </w:p>
    <w:tbl>
      <w:tblPr>
        <w:tblStyle w:val="Reatabula"/>
        <w:tblW w:w="8770" w:type="dxa"/>
        <w:jc w:val="center"/>
        <w:tblLayout w:type="fixed"/>
        <w:tblLook w:val="04A0" w:firstRow="1" w:lastRow="0" w:firstColumn="1" w:lastColumn="0" w:noHBand="0" w:noVBand="1"/>
      </w:tblPr>
      <w:tblGrid>
        <w:gridCol w:w="824"/>
        <w:gridCol w:w="4864"/>
        <w:gridCol w:w="1530"/>
        <w:gridCol w:w="1537"/>
        <w:gridCol w:w="15"/>
      </w:tblGrid>
      <w:tr w:rsidR="00F82938" w:rsidRPr="007F4B5E" w14:paraId="6F83D218" w14:textId="77777777" w:rsidTr="00AF6174">
        <w:trPr>
          <w:gridAfter w:val="1"/>
          <w:wAfter w:w="15" w:type="dxa"/>
          <w:trHeight w:val="809"/>
          <w:jc w:val="center"/>
        </w:trPr>
        <w:tc>
          <w:tcPr>
            <w:tcW w:w="824" w:type="dxa"/>
          </w:tcPr>
          <w:p w14:paraId="3AAE03ED" w14:textId="77777777" w:rsidR="00F82938" w:rsidRPr="007F4B5E" w:rsidRDefault="00F82938" w:rsidP="00C61EFC">
            <w:r w:rsidRPr="007F4B5E">
              <w:tab/>
              <w:t xml:space="preserve">Nr. p. k. </w:t>
            </w:r>
          </w:p>
        </w:tc>
        <w:tc>
          <w:tcPr>
            <w:tcW w:w="4864" w:type="dxa"/>
          </w:tcPr>
          <w:p w14:paraId="40D97BD5" w14:textId="77777777" w:rsidR="00F82938" w:rsidRPr="007F4B5E" w:rsidRDefault="00F82938" w:rsidP="00C61EFC">
            <w:pPr>
              <w:jc w:val="center"/>
            </w:pPr>
            <w:r w:rsidRPr="007F4B5E">
              <w:t>Pakalpojuma nosaukums</w:t>
            </w:r>
          </w:p>
        </w:tc>
        <w:tc>
          <w:tcPr>
            <w:tcW w:w="1530" w:type="dxa"/>
          </w:tcPr>
          <w:p w14:paraId="727060F5" w14:textId="77777777" w:rsidR="00F82938" w:rsidRPr="007F4B5E" w:rsidRDefault="00F82938" w:rsidP="00C61EFC">
            <w:r w:rsidRPr="007F4B5E">
              <w:t>Cena, EUR</w:t>
            </w:r>
          </w:p>
          <w:p w14:paraId="5C449B40" w14:textId="77777777" w:rsidR="00F82938" w:rsidRPr="007F4B5E" w:rsidRDefault="00F82938" w:rsidP="00C61EFC">
            <w:r w:rsidRPr="007F4B5E">
              <w:t xml:space="preserve">bez PVN </w:t>
            </w:r>
          </w:p>
          <w:p w14:paraId="4F04D704" w14:textId="77777777" w:rsidR="00F82938" w:rsidRPr="007F4B5E" w:rsidRDefault="00F82938" w:rsidP="00C61EFC"/>
        </w:tc>
        <w:tc>
          <w:tcPr>
            <w:tcW w:w="1537" w:type="dxa"/>
          </w:tcPr>
          <w:p w14:paraId="07B99C75" w14:textId="77777777" w:rsidR="00F82938" w:rsidRPr="007F4B5E" w:rsidRDefault="00F82938" w:rsidP="00C61EFC">
            <w:r w:rsidRPr="007F4B5E">
              <w:t>Cena, EUR</w:t>
            </w:r>
          </w:p>
          <w:p w14:paraId="76B3EC79" w14:textId="77777777" w:rsidR="00F82938" w:rsidRPr="007F4B5E" w:rsidRDefault="00F82938" w:rsidP="00C61EFC">
            <w:r w:rsidRPr="007F4B5E">
              <w:t xml:space="preserve">ar 21 % PVN </w:t>
            </w:r>
          </w:p>
        </w:tc>
      </w:tr>
      <w:tr w:rsidR="00F82938" w:rsidRPr="007F4B5E" w14:paraId="62B867B4" w14:textId="77777777" w:rsidTr="00AF6174">
        <w:trPr>
          <w:gridAfter w:val="1"/>
          <w:wAfter w:w="15" w:type="dxa"/>
          <w:jc w:val="center"/>
        </w:trPr>
        <w:tc>
          <w:tcPr>
            <w:tcW w:w="824" w:type="dxa"/>
          </w:tcPr>
          <w:p w14:paraId="2F1FD18A" w14:textId="77777777" w:rsidR="00F82938" w:rsidRPr="007F4B5E" w:rsidRDefault="00F82938" w:rsidP="00F82938">
            <w:pPr>
              <w:pStyle w:val="Sarakstarindkopa"/>
              <w:numPr>
                <w:ilvl w:val="0"/>
                <w:numId w:val="13"/>
              </w:numPr>
              <w:jc w:val="center"/>
            </w:pPr>
          </w:p>
        </w:tc>
        <w:tc>
          <w:tcPr>
            <w:tcW w:w="4864" w:type="dxa"/>
          </w:tcPr>
          <w:p w14:paraId="72B6677B" w14:textId="77777777" w:rsidR="00F82938" w:rsidRPr="007F4B5E" w:rsidRDefault="00F82938" w:rsidP="00C61EFC">
            <w:pPr>
              <w:rPr>
                <w:b/>
              </w:rPr>
            </w:pPr>
            <w:r w:rsidRPr="007F4B5E">
              <w:rPr>
                <w:b/>
              </w:rPr>
              <w:t>Topogrāfiskās informācijas (tai skaitā ielu sarkano līniju) izsniegšana, pieņemšana, pārbaude, ievadīšana  datu planšetēs un reģistrēšana datubāzē un nosūtīšana pašvaldībai</w:t>
            </w:r>
          </w:p>
        </w:tc>
        <w:tc>
          <w:tcPr>
            <w:tcW w:w="1530" w:type="dxa"/>
          </w:tcPr>
          <w:p w14:paraId="5AACDD68" w14:textId="77777777" w:rsidR="00F82938" w:rsidRPr="007F4B5E" w:rsidRDefault="00F82938" w:rsidP="00C61EFC"/>
        </w:tc>
        <w:tc>
          <w:tcPr>
            <w:tcW w:w="1537" w:type="dxa"/>
          </w:tcPr>
          <w:p w14:paraId="34B6C536" w14:textId="77777777" w:rsidR="00F82938" w:rsidRPr="007F4B5E" w:rsidRDefault="00F82938" w:rsidP="00C61EFC"/>
        </w:tc>
      </w:tr>
      <w:tr w:rsidR="00F82938" w:rsidRPr="007F4B5E" w14:paraId="2BE559B9" w14:textId="77777777" w:rsidTr="00AF6174">
        <w:trPr>
          <w:gridAfter w:val="1"/>
          <w:wAfter w:w="15" w:type="dxa"/>
          <w:jc w:val="center"/>
        </w:trPr>
        <w:tc>
          <w:tcPr>
            <w:tcW w:w="824" w:type="dxa"/>
          </w:tcPr>
          <w:p w14:paraId="576F6258" w14:textId="77777777" w:rsidR="00F82938" w:rsidRPr="007F4B5E" w:rsidRDefault="00F82938" w:rsidP="00C61EFC">
            <w:pPr>
              <w:jc w:val="center"/>
            </w:pPr>
            <w:r w:rsidRPr="007F4B5E">
              <w:t>1.1.</w:t>
            </w:r>
          </w:p>
        </w:tc>
        <w:tc>
          <w:tcPr>
            <w:tcW w:w="4864" w:type="dxa"/>
          </w:tcPr>
          <w:p w14:paraId="671CB0C5" w14:textId="77777777" w:rsidR="00F82938" w:rsidRPr="007F4B5E" w:rsidRDefault="00F82938" w:rsidP="00C61EFC">
            <w:r w:rsidRPr="007F4B5E">
              <w:t>objekta platība līdz 0,3 ha (ieskaitot), viens objekts</w:t>
            </w:r>
          </w:p>
        </w:tc>
        <w:tc>
          <w:tcPr>
            <w:tcW w:w="1530" w:type="dxa"/>
          </w:tcPr>
          <w:p w14:paraId="52B6577F" w14:textId="77777777" w:rsidR="00F82938" w:rsidRPr="007F4B5E" w:rsidRDefault="00F82938" w:rsidP="00C61EFC">
            <w:pPr>
              <w:jc w:val="center"/>
              <w:rPr>
                <w:b/>
                <w:bCs/>
              </w:rPr>
            </w:pPr>
            <w:r w:rsidRPr="007F4B5E">
              <w:rPr>
                <w:b/>
                <w:bCs/>
              </w:rPr>
              <w:t>20,00</w:t>
            </w:r>
          </w:p>
        </w:tc>
        <w:tc>
          <w:tcPr>
            <w:tcW w:w="1537" w:type="dxa"/>
          </w:tcPr>
          <w:p w14:paraId="38478C7D" w14:textId="77777777" w:rsidR="00F82938" w:rsidRPr="007F4B5E" w:rsidRDefault="00F82938" w:rsidP="00C61EFC">
            <w:pPr>
              <w:jc w:val="center"/>
              <w:rPr>
                <w:b/>
                <w:bCs/>
              </w:rPr>
            </w:pPr>
            <w:r w:rsidRPr="007F4B5E">
              <w:rPr>
                <w:b/>
                <w:bCs/>
              </w:rPr>
              <w:t>24,20</w:t>
            </w:r>
          </w:p>
        </w:tc>
      </w:tr>
      <w:tr w:rsidR="00F82938" w:rsidRPr="007F4B5E" w14:paraId="6C02BCA1" w14:textId="77777777" w:rsidTr="00AF6174">
        <w:trPr>
          <w:gridAfter w:val="1"/>
          <w:wAfter w:w="15" w:type="dxa"/>
          <w:jc w:val="center"/>
        </w:trPr>
        <w:tc>
          <w:tcPr>
            <w:tcW w:w="824" w:type="dxa"/>
          </w:tcPr>
          <w:p w14:paraId="18AFDE88" w14:textId="77777777" w:rsidR="00F82938" w:rsidRPr="007F4B5E" w:rsidRDefault="00F82938" w:rsidP="00C61EFC">
            <w:pPr>
              <w:jc w:val="center"/>
            </w:pPr>
            <w:r w:rsidRPr="007F4B5E">
              <w:t>1.2.</w:t>
            </w:r>
          </w:p>
        </w:tc>
        <w:tc>
          <w:tcPr>
            <w:tcW w:w="4864" w:type="dxa"/>
          </w:tcPr>
          <w:p w14:paraId="2DF8D675" w14:textId="77777777" w:rsidR="00F82938" w:rsidRPr="007F4B5E" w:rsidRDefault="00F82938" w:rsidP="00C61EFC">
            <w:r w:rsidRPr="007F4B5E">
              <w:t>objekta platība virs 0,3 ha līdz 0,5 ha (ieskaitot), viens objekts</w:t>
            </w:r>
          </w:p>
        </w:tc>
        <w:tc>
          <w:tcPr>
            <w:tcW w:w="1530" w:type="dxa"/>
          </w:tcPr>
          <w:p w14:paraId="3E48122F" w14:textId="77777777" w:rsidR="00F82938" w:rsidRPr="007F4B5E" w:rsidRDefault="00F82938" w:rsidP="00C61EFC">
            <w:pPr>
              <w:jc w:val="center"/>
              <w:rPr>
                <w:b/>
                <w:bCs/>
              </w:rPr>
            </w:pPr>
            <w:r w:rsidRPr="007F4B5E">
              <w:rPr>
                <w:b/>
                <w:bCs/>
              </w:rPr>
              <w:t>14,00</w:t>
            </w:r>
          </w:p>
        </w:tc>
        <w:tc>
          <w:tcPr>
            <w:tcW w:w="1537" w:type="dxa"/>
          </w:tcPr>
          <w:p w14:paraId="6DEE5A15" w14:textId="77777777" w:rsidR="00F82938" w:rsidRPr="007F4B5E" w:rsidRDefault="00F82938" w:rsidP="00C61EFC">
            <w:pPr>
              <w:jc w:val="center"/>
              <w:rPr>
                <w:b/>
                <w:bCs/>
              </w:rPr>
            </w:pPr>
            <w:r w:rsidRPr="007F4B5E">
              <w:rPr>
                <w:b/>
                <w:bCs/>
              </w:rPr>
              <w:t>16,94</w:t>
            </w:r>
          </w:p>
        </w:tc>
      </w:tr>
      <w:tr w:rsidR="00F82938" w:rsidRPr="007F4B5E" w14:paraId="148FA25D" w14:textId="77777777" w:rsidTr="00AF6174">
        <w:trPr>
          <w:gridAfter w:val="1"/>
          <w:wAfter w:w="15" w:type="dxa"/>
          <w:jc w:val="center"/>
        </w:trPr>
        <w:tc>
          <w:tcPr>
            <w:tcW w:w="824" w:type="dxa"/>
          </w:tcPr>
          <w:p w14:paraId="400B66FF" w14:textId="77777777" w:rsidR="00F82938" w:rsidRPr="007F4B5E" w:rsidRDefault="00F82938" w:rsidP="00C61EFC">
            <w:pPr>
              <w:jc w:val="center"/>
            </w:pPr>
            <w:r w:rsidRPr="007F4B5E">
              <w:t>1.3.</w:t>
            </w:r>
          </w:p>
        </w:tc>
        <w:tc>
          <w:tcPr>
            <w:tcW w:w="4864" w:type="dxa"/>
          </w:tcPr>
          <w:p w14:paraId="107B1DE1" w14:textId="77777777" w:rsidR="00F82938" w:rsidRPr="007F4B5E" w:rsidRDefault="00F82938" w:rsidP="00C61EFC">
            <w:r w:rsidRPr="007F4B5E">
              <w:t>objekta platība virs 0,5 ha līdz 1,0 ha (ieskaitot), viens objekts</w:t>
            </w:r>
          </w:p>
        </w:tc>
        <w:tc>
          <w:tcPr>
            <w:tcW w:w="1530" w:type="dxa"/>
          </w:tcPr>
          <w:p w14:paraId="5E360106" w14:textId="77777777" w:rsidR="00F82938" w:rsidRPr="007F4B5E" w:rsidRDefault="00F82938" w:rsidP="00C61EFC">
            <w:pPr>
              <w:jc w:val="center"/>
              <w:rPr>
                <w:b/>
                <w:bCs/>
              </w:rPr>
            </w:pPr>
            <w:r w:rsidRPr="007F4B5E">
              <w:rPr>
                <w:b/>
                <w:bCs/>
              </w:rPr>
              <w:t>14,00</w:t>
            </w:r>
          </w:p>
        </w:tc>
        <w:tc>
          <w:tcPr>
            <w:tcW w:w="1537" w:type="dxa"/>
          </w:tcPr>
          <w:p w14:paraId="58D23D89" w14:textId="77777777" w:rsidR="00F82938" w:rsidRPr="007F4B5E" w:rsidRDefault="00F82938" w:rsidP="00C61EFC">
            <w:pPr>
              <w:jc w:val="center"/>
              <w:rPr>
                <w:b/>
                <w:bCs/>
              </w:rPr>
            </w:pPr>
            <w:r w:rsidRPr="007F4B5E">
              <w:rPr>
                <w:b/>
                <w:bCs/>
              </w:rPr>
              <w:t>16,94</w:t>
            </w:r>
          </w:p>
        </w:tc>
      </w:tr>
      <w:tr w:rsidR="00F82938" w:rsidRPr="007F4B5E" w14:paraId="48B590A4" w14:textId="77777777" w:rsidTr="00AF6174">
        <w:trPr>
          <w:gridAfter w:val="1"/>
          <w:wAfter w:w="15" w:type="dxa"/>
          <w:jc w:val="center"/>
        </w:trPr>
        <w:tc>
          <w:tcPr>
            <w:tcW w:w="824" w:type="dxa"/>
          </w:tcPr>
          <w:p w14:paraId="65548B58" w14:textId="77777777" w:rsidR="00F82938" w:rsidRPr="007F4B5E" w:rsidRDefault="00F82938" w:rsidP="00C61EFC">
            <w:pPr>
              <w:jc w:val="center"/>
            </w:pPr>
            <w:r w:rsidRPr="007F4B5E">
              <w:t>1.4.</w:t>
            </w:r>
          </w:p>
        </w:tc>
        <w:tc>
          <w:tcPr>
            <w:tcW w:w="4864" w:type="dxa"/>
          </w:tcPr>
          <w:p w14:paraId="7772ACB2" w14:textId="77777777" w:rsidR="00F82938" w:rsidRPr="007F4B5E" w:rsidRDefault="00F82938" w:rsidP="00C61EFC">
            <w:r w:rsidRPr="007F4B5E">
              <w:t>objekta platība virs 1,0 ha, papildus par katru nākamo ha</w:t>
            </w:r>
          </w:p>
        </w:tc>
        <w:tc>
          <w:tcPr>
            <w:tcW w:w="1530" w:type="dxa"/>
          </w:tcPr>
          <w:p w14:paraId="055820EE" w14:textId="77777777" w:rsidR="00F82938" w:rsidRPr="007F4B5E" w:rsidRDefault="00F82938" w:rsidP="00C61EFC">
            <w:pPr>
              <w:jc w:val="center"/>
              <w:rPr>
                <w:b/>
                <w:bCs/>
              </w:rPr>
            </w:pPr>
            <w:r w:rsidRPr="007F4B5E">
              <w:rPr>
                <w:b/>
                <w:bCs/>
              </w:rPr>
              <w:t>14,00</w:t>
            </w:r>
          </w:p>
        </w:tc>
        <w:tc>
          <w:tcPr>
            <w:tcW w:w="1537" w:type="dxa"/>
          </w:tcPr>
          <w:p w14:paraId="20F3EC1B" w14:textId="77777777" w:rsidR="00F82938" w:rsidRPr="007F4B5E" w:rsidRDefault="00F82938" w:rsidP="00C61EFC">
            <w:pPr>
              <w:jc w:val="center"/>
              <w:rPr>
                <w:b/>
                <w:bCs/>
              </w:rPr>
            </w:pPr>
            <w:r w:rsidRPr="007F4B5E">
              <w:rPr>
                <w:b/>
                <w:bCs/>
              </w:rPr>
              <w:t>16,94</w:t>
            </w:r>
          </w:p>
        </w:tc>
      </w:tr>
      <w:tr w:rsidR="009C41EE" w:rsidRPr="007F4B5E" w14:paraId="3EEC03B4" w14:textId="77777777" w:rsidTr="00AF6174">
        <w:trPr>
          <w:gridAfter w:val="1"/>
          <w:wAfter w:w="15" w:type="dxa"/>
          <w:jc w:val="center"/>
        </w:trPr>
        <w:tc>
          <w:tcPr>
            <w:tcW w:w="824" w:type="dxa"/>
          </w:tcPr>
          <w:p w14:paraId="787AAC55" w14:textId="77777777" w:rsidR="009C41EE" w:rsidRPr="007F4B5E" w:rsidRDefault="009C41EE" w:rsidP="00DD0E29">
            <w:pPr>
              <w:pStyle w:val="Sarakstarindkopa"/>
              <w:numPr>
                <w:ilvl w:val="0"/>
                <w:numId w:val="13"/>
              </w:numPr>
              <w:jc w:val="center"/>
            </w:pPr>
          </w:p>
        </w:tc>
        <w:tc>
          <w:tcPr>
            <w:tcW w:w="4864" w:type="dxa"/>
          </w:tcPr>
          <w:p w14:paraId="15322108" w14:textId="77777777" w:rsidR="009C41EE" w:rsidRPr="007F4B5E" w:rsidRDefault="009C41EE" w:rsidP="009C41EE">
            <w:pPr>
              <w:rPr>
                <w:b/>
              </w:rPr>
            </w:pPr>
            <w:r w:rsidRPr="007F4B5E">
              <w:rPr>
                <w:b/>
              </w:rPr>
              <w:t xml:space="preserve">Inženierkomunikāciju </w:t>
            </w:r>
            <w:r w:rsidRPr="007F4B5E">
              <w:rPr>
                <w:sz w:val="36"/>
                <w:szCs w:val="36"/>
              </w:rPr>
              <w:t xml:space="preserve"> </w:t>
            </w:r>
            <w:r w:rsidRPr="007F4B5E">
              <w:rPr>
                <w:b/>
              </w:rPr>
              <w:t>izpildmērījumu plāna pieņemšana, pārbaude, ievadīšana datu planšetēs un reģistrēšana un nosūtīšana pašvaldībai *</w:t>
            </w:r>
          </w:p>
        </w:tc>
        <w:tc>
          <w:tcPr>
            <w:tcW w:w="1530" w:type="dxa"/>
          </w:tcPr>
          <w:p w14:paraId="3F29F5F7" w14:textId="77777777" w:rsidR="009C41EE" w:rsidRPr="007F4B5E" w:rsidRDefault="009C41EE" w:rsidP="00C61EFC">
            <w:pPr>
              <w:jc w:val="center"/>
              <w:rPr>
                <w:b/>
                <w:bCs/>
              </w:rPr>
            </w:pPr>
          </w:p>
        </w:tc>
        <w:tc>
          <w:tcPr>
            <w:tcW w:w="1537" w:type="dxa"/>
          </w:tcPr>
          <w:p w14:paraId="47CDD833" w14:textId="77777777" w:rsidR="009C41EE" w:rsidRPr="007F4B5E" w:rsidRDefault="009C41EE" w:rsidP="00C61EFC">
            <w:pPr>
              <w:jc w:val="center"/>
              <w:rPr>
                <w:b/>
                <w:bCs/>
              </w:rPr>
            </w:pPr>
          </w:p>
        </w:tc>
      </w:tr>
      <w:tr w:rsidR="005F7649" w:rsidRPr="007F4B5E" w14:paraId="7E010143" w14:textId="77777777" w:rsidTr="00AF6174">
        <w:trPr>
          <w:gridAfter w:val="1"/>
          <w:wAfter w:w="15" w:type="dxa"/>
          <w:jc w:val="center"/>
        </w:trPr>
        <w:tc>
          <w:tcPr>
            <w:tcW w:w="8755" w:type="dxa"/>
            <w:gridSpan w:val="4"/>
          </w:tcPr>
          <w:p w14:paraId="55B0E2FE" w14:textId="7A733597" w:rsidR="005F7649" w:rsidRPr="007F4B5E" w:rsidRDefault="005F7649" w:rsidP="00403BC6">
            <w:pPr>
              <w:jc w:val="both"/>
              <w:rPr>
                <w:b/>
                <w:bCs/>
              </w:rPr>
            </w:pPr>
            <w:r w:rsidRPr="007F4B5E">
              <w:rPr>
                <w:rFonts w:eastAsia="Times New Roman"/>
                <w:szCs w:val="24"/>
                <w:lang w:eastAsia="en-GB"/>
              </w:rPr>
              <w:t xml:space="preserve">* Atbilstoši </w:t>
            </w:r>
            <w:r w:rsidRPr="007F4B5E">
              <w:t xml:space="preserve">2018. gada 12. jūnija </w:t>
            </w:r>
            <w:r w:rsidRPr="007F4B5E">
              <w:rPr>
                <w:rFonts w:eastAsia="Times New Roman"/>
                <w:szCs w:val="24"/>
                <w:lang w:eastAsia="en-GB"/>
              </w:rPr>
              <w:t>MK noteikumiem Nr. 326 ”Būvju klasifikācijas noteikumi”, inženierkomunikācijas ir cauruļvadi, sakaru un elektropārvades līnijas (kods 22). Cenrāža cena tiek piemērota tikai galvenajam objektam.</w:t>
            </w:r>
          </w:p>
        </w:tc>
      </w:tr>
      <w:tr w:rsidR="00311A23" w:rsidRPr="007F4B5E" w14:paraId="2CDA2169" w14:textId="77777777" w:rsidTr="00AF6174">
        <w:trPr>
          <w:gridAfter w:val="1"/>
          <w:wAfter w:w="15" w:type="dxa"/>
          <w:jc w:val="center"/>
        </w:trPr>
        <w:tc>
          <w:tcPr>
            <w:tcW w:w="824" w:type="dxa"/>
          </w:tcPr>
          <w:p w14:paraId="079A6320" w14:textId="77777777" w:rsidR="00311A23" w:rsidRPr="007F4B5E" w:rsidRDefault="00311A23" w:rsidP="00C61EFC">
            <w:pPr>
              <w:jc w:val="center"/>
            </w:pPr>
            <w:r w:rsidRPr="007F4B5E">
              <w:t>2.1.</w:t>
            </w:r>
          </w:p>
        </w:tc>
        <w:tc>
          <w:tcPr>
            <w:tcW w:w="4864" w:type="dxa"/>
          </w:tcPr>
          <w:p w14:paraId="48D978CC" w14:textId="77777777" w:rsidR="00311A23" w:rsidRPr="007F4B5E" w:rsidRDefault="00311A23" w:rsidP="00C61EFC">
            <w:r w:rsidRPr="007F4B5E">
              <w:t>trases garums līdz 30m</w:t>
            </w:r>
          </w:p>
        </w:tc>
        <w:tc>
          <w:tcPr>
            <w:tcW w:w="1530" w:type="dxa"/>
          </w:tcPr>
          <w:p w14:paraId="59FC1076" w14:textId="77777777" w:rsidR="00311A23" w:rsidRPr="007F4B5E" w:rsidRDefault="00311A23" w:rsidP="00C61EFC">
            <w:pPr>
              <w:jc w:val="center"/>
              <w:rPr>
                <w:b/>
                <w:bCs/>
              </w:rPr>
            </w:pPr>
            <w:r w:rsidRPr="007F4B5E">
              <w:rPr>
                <w:b/>
                <w:bCs/>
              </w:rPr>
              <w:t>5,00</w:t>
            </w:r>
          </w:p>
        </w:tc>
        <w:tc>
          <w:tcPr>
            <w:tcW w:w="1537" w:type="dxa"/>
          </w:tcPr>
          <w:p w14:paraId="36105D5A" w14:textId="77777777" w:rsidR="00311A23" w:rsidRPr="007F4B5E" w:rsidRDefault="00311A23" w:rsidP="00C61EFC">
            <w:pPr>
              <w:jc w:val="center"/>
              <w:rPr>
                <w:b/>
                <w:bCs/>
              </w:rPr>
            </w:pPr>
            <w:r w:rsidRPr="007F4B5E">
              <w:rPr>
                <w:b/>
                <w:bCs/>
              </w:rPr>
              <w:t>6,05</w:t>
            </w:r>
          </w:p>
        </w:tc>
      </w:tr>
      <w:tr w:rsidR="00311A23" w:rsidRPr="007F4B5E" w14:paraId="5C8E4B7F" w14:textId="77777777" w:rsidTr="00AF6174">
        <w:trPr>
          <w:gridAfter w:val="1"/>
          <w:wAfter w:w="15" w:type="dxa"/>
          <w:jc w:val="center"/>
        </w:trPr>
        <w:tc>
          <w:tcPr>
            <w:tcW w:w="824" w:type="dxa"/>
          </w:tcPr>
          <w:p w14:paraId="47407935" w14:textId="77777777" w:rsidR="00311A23" w:rsidRPr="007F4B5E" w:rsidRDefault="00311A23" w:rsidP="00C61EFC">
            <w:pPr>
              <w:jc w:val="center"/>
            </w:pPr>
            <w:r w:rsidRPr="007F4B5E">
              <w:t>2.2.</w:t>
            </w:r>
          </w:p>
        </w:tc>
        <w:tc>
          <w:tcPr>
            <w:tcW w:w="4864" w:type="dxa"/>
          </w:tcPr>
          <w:p w14:paraId="0F76CBB6" w14:textId="77777777" w:rsidR="00311A23" w:rsidRPr="007F4B5E" w:rsidRDefault="00311A23" w:rsidP="00C61EFC">
            <w:r w:rsidRPr="007F4B5E">
              <w:t>trases garums no 30 līdz 300 m</w:t>
            </w:r>
          </w:p>
        </w:tc>
        <w:tc>
          <w:tcPr>
            <w:tcW w:w="1530" w:type="dxa"/>
          </w:tcPr>
          <w:p w14:paraId="5B71B658" w14:textId="77777777" w:rsidR="00311A23" w:rsidRPr="007F4B5E" w:rsidRDefault="00311A23" w:rsidP="00C61EFC">
            <w:pPr>
              <w:jc w:val="center"/>
              <w:rPr>
                <w:b/>
                <w:bCs/>
              </w:rPr>
            </w:pPr>
            <w:r w:rsidRPr="007F4B5E">
              <w:rPr>
                <w:b/>
                <w:bCs/>
              </w:rPr>
              <w:t>5,00</w:t>
            </w:r>
          </w:p>
        </w:tc>
        <w:tc>
          <w:tcPr>
            <w:tcW w:w="1537" w:type="dxa"/>
          </w:tcPr>
          <w:p w14:paraId="346D34C5" w14:textId="77777777" w:rsidR="00311A23" w:rsidRPr="007F4B5E" w:rsidRDefault="00311A23" w:rsidP="00C61EFC">
            <w:pPr>
              <w:jc w:val="center"/>
              <w:rPr>
                <w:b/>
                <w:bCs/>
              </w:rPr>
            </w:pPr>
            <w:r w:rsidRPr="007F4B5E">
              <w:rPr>
                <w:b/>
                <w:bCs/>
              </w:rPr>
              <w:t>6,05</w:t>
            </w:r>
          </w:p>
        </w:tc>
      </w:tr>
      <w:tr w:rsidR="00311A23" w:rsidRPr="007F4B5E" w14:paraId="4A64F62E" w14:textId="77777777" w:rsidTr="00AF6174">
        <w:trPr>
          <w:gridAfter w:val="1"/>
          <w:wAfter w:w="15" w:type="dxa"/>
          <w:jc w:val="center"/>
        </w:trPr>
        <w:tc>
          <w:tcPr>
            <w:tcW w:w="824" w:type="dxa"/>
          </w:tcPr>
          <w:p w14:paraId="59F3307C" w14:textId="77777777" w:rsidR="00311A23" w:rsidRPr="007F4B5E" w:rsidRDefault="00311A23" w:rsidP="00C61EFC">
            <w:pPr>
              <w:jc w:val="center"/>
            </w:pPr>
            <w:r w:rsidRPr="007F4B5E">
              <w:t>2.3.</w:t>
            </w:r>
          </w:p>
        </w:tc>
        <w:tc>
          <w:tcPr>
            <w:tcW w:w="4864" w:type="dxa"/>
          </w:tcPr>
          <w:p w14:paraId="6197EDB8" w14:textId="77777777" w:rsidR="00311A23" w:rsidRPr="007F4B5E" w:rsidRDefault="00311A23" w:rsidP="00C61EFC">
            <w:r w:rsidRPr="007F4B5E">
              <w:t>trases garums virs 300 m, papildus par katriem nākamajiem 100 m</w:t>
            </w:r>
          </w:p>
        </w:tc>
        <w:tc>
          <w:tcPr>
            <w:tcW w:w="1530" w:type="dxa"/>
          </w:tcPr>
          <w:p w14:paraId="1C87A288" w14:textId="77777777" w:rsidR="00311A23" w:rsidRPr="007F4B5E" w:rsidRDefault="00311A23" w:rsidP="00C61EFC">
            <w:pPr>
              <w:jc w:val="center"/>
              <w:rPr>
                <w:b/>
                <w:bCs/>
              </w:rPr>
            </w:pPr>
            <w:r w:rsidRPr="007F4B5E">
              <w:rPr>
                <w:b/>
                <w:bCs/>
              </w:rPr>
              <w:t>5,00</w:t>
            </w:r>
          </w:p>
        </w:tc>
        <w:tc>
          <w:tcPr>
            <w:tcW w:w="1537" w:type="dxa"/>
          </w:tcPr>
          <w:p w14:paraId="1A730A75" w14:textId="77777777" w:rsidR="00311A23" w:rsidRPr="007F4B5E" w:rsidRDefault="00311A23" w:rsidP="00C61EFC">
            <w:pPr>
              <w:jc w:val="center"/>
              <w:rPr>
                <w:b/>
                <w:bCs/>
              </w:rPr>
            </w:pPr>
            <w:r w:rsidRPr="007F4B5E">
              <w:rPr>
                <w:b/>
                <w:bCs/>
              </w:rPr>
              <w:t>6,05</w:t>
            </w:r>
          </w:p>
        </w:tc>
      </w:tr>
      <w:tr w:rsidR="00311A23" w:rsidRPr="007F4B5E" w14:paraId="4462354E" w14:textId="77777777" w:rsidTr="00AF6174">
        <w:trPr>
          <w:gridAfter w:val="1"/>
          <w:wAfter w:w="15" w:type="dxa"/>
          <w:jc w:val="center"/>
        </w:trPr>
        <w:tc>
          <w:tcPr>
            <w:tcW w:w="824" w:type="dxa"/>
          </w:tcPr>
          <w:p w14:paraId="1E452E16" w14:textId="77777777" w:rsidR="00311A23" w:rsidRPr="007F4B5E" w:rsidRDefault="00311A23" w:rsidP="00311A23">
            <w:pPr>
              <w:jc w:val="center"/>
            </w:pPr>
            <w:r w:rsidRPr="007F4B5E">
              <w:t>2.4.</w:t>
            </w:r>
          </w:p>
        </w:tc>
        <w:tc>
          <w:tcPr>
            <w:tcW w:w="4864" w:type="dxa"/>
          </w:tcPr>
          <w:p w14:paraId="5F05C0A1" w14:textId="77777777" w:rsidR="00311A23" w:rsidRPr="007F4B5E" w:rsidRDefault="00311A23" w:rsidP="00C61EFC">
            <w:r w:rsidRPr="007F4B5E">
              <w:t>objektam, kura platību mēra ha (viens objekts)</w:t>
            </w:r>
          </w:p>
        </w:tc>
        <w:tc>
          <w:tcPr>
            <w:tcW w:w="1530" w:type="dxa"/>
          </w:tcPr>
          <w:p w14:paraId="7ABBDAFE" w14:textId="77777777" w:rsidR="00311A23" w:rsidRPr="007F4B5E" w:rsidRDefault="00311A23" w:rsidP="00D95F7A">
            <w:pPr>
              <w:jc w:val="center"/>
              <w:rPr>
                <w:b/>
                <w:bCs/>
              </w:rPr>
            </w:pPr>
            <w:r w:rsidRPr="007F4B5E">
              <w:rPr>
                <w:b/>
                <w:bCs/>
              </w:rPr>
              <w:t>5,00</w:t>
            </w:r>
          </w:p>
        </w:tc>
        <w:tc>
          <w:tcPr>
            <w:tcW w:w="1537" w:type="dxa"/>
          </w:tcPr>
          <w:p w14:paraId="13CD41CE" w14:textId="77777777" w:rsidR="00311A23" w:rsidRPr="007F4B5E" w:rsidRDefault="00311A23" w:rsidP="00D95F7A">
            <w:pPr>
              <w:jc w:val="center"/>
              <w:rPr>
                <w:b/>
                <w:bCs/>
              </w:rPr>
            </w:pPr>
            <w:r w:rsidRPr="007F4B5E">
              <w:rPr>
                <w:b/>
                <w:bCs/>
              </w:rPr>
              <w:t>6,05</w:t>
            </w:r>
          </w:p>
        </w:tc>
      </w:tr>
      <w:tr w:rsidR="00311A23" w:rsidRPr="007F4B5E" w14:paraId="5F556A95" w14:textId="77777777" w:rsidTr="00AF6174">
        <w:trPr>
          <w:gridAfter w:val="1"/>
          <w:wAfter w:w="15" w:type="dxa"/>
          <w:jc w:val="center"/>
        </w:trPr>
        <w:tc>
          <w:tcPr>
            <w:tcW w:w="824" w:type="dxa"/>
          </w:tcPr>
          <w:p w14:paraId="06A3D764" w14:textId="77777777" w:rsidR="00311A23" w:rsidRPr="007F4B5E" w:rsidRDefault="00311A23" w:rsidP="00F82938">
            <w:pPr>
              <w:pStyle w:val="Sarakstarindkopa"/>
              <w:numPr>
                <w:ilvl w:val="0"/>
                <w:numId w:val="13"/>
              </w:numPr>
              <w:jc w:val="center"/>
            </w:pPr>
          </w:p>
        </w:tc>
        <w:tc>
          <w:tcPr>
            <w:tcW w:w="4864" w:type="dxa"/>
          </w:tcPr>
          <w:p w14:paraId="568AD9F0" w14:textId="77777777" w:rsidR="00311A23" w:rsidRPr="007F4B5E" w:rsidRDefault="00311A23" w:rsidP="00C61EFC">
            <w:pPr>
              <w:rPr>
                <w:b/>
              </w:rPr>
            </w:pPr>
            <w:r w:rsidRPr="007F4B5E">
              <w:rPr>
                <w:b/>
              </w:rPr>
              <w:t>Galveno būvasu reģistrēšana datu bāzē un nosūtīšana pašvaldībai</w:t>
            </w:r>
          </w:p>
        </w:tc>
        <w:tc>
          <w:tcPr>
            <w:tcW w:w="1530" w:type="dxa"/>
          </w:tcPr>
          <w:p w14:paraId="27D7B863" w14:textId="77777777" w:rsidR="00311A23" w:rsidRPr="007F4B5E" w:rsidRDefault="00311A23" w:rsidP="00C61EFC">
            <w:pPr>
              <w:jc w:val="center"/>
            </w:pPr>
          </w:p>
        </w:tc>
        <w:tc>
          <w:tcPr>
            <w:tcW w:w="1537" w:type="dxa"/>
          </w:tcPr>
          <w:p w14:paraId="19C96C88" w14:textId="77777777" w:rsidR="00311A23" w:rsidRPr="007F4B5E" w:rsidRDefault="00311A23" w:rsidP="00C61EFC">
            <w:pPr>
              <w:jc w:val="center"/>
            </w:pPr>
          </w:p>
        </w:tc>
      </w:tr>
      <w:tr w:rsidR="00311A23" w:rsidRPr="007F4B5E" w14:paraId="235D7324" w14:textId="77777777" w:rsidTr="00AF6174">
        <w:trPr>
          <w:gridAfter w:val="1"/>
          <w:wAfter w:w="15" w:type="dxa"/>
          <w:jc w:val="center"/>
        </w:trPr>
        <w:tc>
          <w:tcPr>
            <w:tcW w:w="824" w:type="dxa"/>
          </w:tcPr>
          <w:p w14:paraId="6AE6B36A" w14:textId="77777777" w:rsidR="00311A23" w:rsidRPr="007F4B5E" w:rsidRDefault="00311A23" w:rsidP="00C61EFC">
            <w:pPr>
              <w:jc w:val="center"/>
            </w:pPr>
            <w:r w:rsidRPr="007F4B5E">
              <w:t>3.1.</w:t>
            </w:r>
          </w:p>
        </w:tc>
        <w:tc>
          <w:tcPr>
            <w:tcW w:w="4864" w:type="dxa"/>
          </w:tcPr>
          <w:p w14:paraId="2F7DC8D1" w14:textId="77777777" w:rsidR="00311A23" w:rsidRPr="007F4B5E" w:rsidRDefault="00311A23" w:rsidP="00C61EFC">
            <w:r w:rsidRPr="007F4B5E">
              <w:t>viens objekts</w:t>
            </w:r>
          </w:p>
        </w:tc>
        <w:tc>
          <w:tcPr>
            <w:tcW w:w="1530" w:type="dxa"/>
          </w:tcPr>
          <w:p w14:paraId="078DD591" w14:textId="77777777" w:rsidR="00311A23" w:rsidRPr="007F4B5E" w:rsidRDefault="00311A23" w:rsidP="00C61EFC">
            <w:pPr>
              <w:jc w:val="center"/>
              <w:rPr>
                <w:b/>
                <w:bCs/>
              </w:rPr>
            </w:pPr>
            <w:r w:rsidRPr="007F4B5E">
              <w:rPr>
                <w:b/>
                <w:bCs/>
              </w:rPr>
              <w:t>3,00</w:t>
            </w:r>
          </w:p>
        </w:tc>
        <w:tc>
          <w:tcPr>
            <w:tcW w:w="1537" w:type="dxa"/>
          </w:tcPr>
          <w:p w14:paraId="6746D4C5" w14:textId="77777777" w:rsidR="00311A23" w:rsidRPr="007F4B5E" w:rsidRDefault="00311A23" w:rsidP="00C61EFC">
            <w:pPr>
              <w:jc w:val="center"/>
              <w:rPr>
                <w:b/>
                <w:bCs/>
              </w:rPr>
            </w:pPr>
            <w:r w:rsidRPr="007F4B5E">
              <w:rPr>
                <w:b/>
                <w:bCs/>
              </w:rPr>
              <w:t>3,63</w:t>
            </w:r>
          </w:p>
        </w:tc>
      </w:tr>
      <w:tr w:rsidR="00311A23" w:rsidRPr="007F4B5E" w14:paraId="0C643EB8" w14:textId="77777777" w:rsidTr="00AF6174">
        <w:trPr>
          <w:gridAfter w:val="1"/>
          <w:wAfter w:w="15" w:type="dxa"/>
          <w:jc w:val="center"/>
        </w:trPr>
        <w:tc>
          <w:tcPr>
            <w:tcW w:w="824" w:type="dxa"/>
          </w:tcPr>
          <w:p w14:paraId="5317034B" w14:textId="77777777" w:rsidR="00311A23" w:rsidRPr="007F4B5E" w:rsidRDefault="00311A23" w:rsidP="00F82938">
            <w:pPr>
              <w:pStyle w:val="Sarakstarindkopa"/>
              <w:numPr>
                <w:ilvl w:val="0"/>
                <w:numId w:val="13"/>
              </w:numPr>
              <w:jc w:val="center"/>
            </w:pPr>
          </w:p>
        </w:tc>
        <w:tc>
          <w:tcPr>
            <w:tcW w:w="4864" w:type="dxa"/>
          </w:tcPr>
          <w:p w14:paraId="34E63E92" w14:textId="77777777" w:rsidR="00311A23" w:rsidRPr="007F4B5E" w:rsidRDefault="00311A23" w:rsidP="009C41EE">
            <w:pPr>
              <w:rPr>
                <w:b/>
              </w:rPr>
            </w:pPr>
            <w:r w:rsidRPr="007F4B5E">
              <w:rPr>
                <w:b/>
              </w:rPr>
              <w:t>Vienas būves novietnes pārbaudes ienešana datu bāzē un nosūtīšana pašvaldībai</w:t>
            </w:r>
            <w:r w:rsidRPr="007F4B5E">
              <w:rPr>
                <w:rFonts w:eastAsia="Times New Roman"/>
                <w:szCs w:val="24"/>
                <w:lang w:eastAsia="en-GB"/>
              </w:rPr>
              <w:t xml:space="preserve"> Pamatojoties uz</w:t>
            </w:r>
            <w:r w:rsidRPr="007F4B5E">
              <w:rPr>
                <w:bCs/>
              </w:rPr>
              <w:t xml:space="preserve"> </w:t>
            </w:r>
            <w:r w:rsidRPr="007F4B5E">
              <w:t xml:space="preserve">2018. gada 12. jūnija </w:t>
            </w:r>
            <w:r w:rsidRPr="007F4B5E">
              <w:rPr>
                <w:rFonts w:eastAsia="Times New Roman"/>
                <w:szCs w:val="24"/>
                <w:lang w:eastAsia="en-GB"/>
              </w:rPr>
              <w:t xml:space="preserve">MK noteikumiem Nr. 326 ”Būvju klasifikācijas noteikumi”, šie objekti ir ēkas (kods 1) un kompleksās būves rūpnieciskās ražošanas </w:t>
            </w:r>
            <w:r w:rsidRPr="007F4B5E">
              <w:rPr>
                <w:rFonts w:eastAsia="Times New Roman"/>
                <w:szCs w:val="24"/>
                <w:lang w:eastAsia="en-GB"/>
              </w:rPr>
              <w:lastRenderedPageBreak/>
              <w:t>uzņēmumos (kods 23)</w:t>
            </w:r>
            <w:r w:rsidRPr="007F4B5E">
              <w:rPr>
                <w:rFonts w:eastAsia="Times New Roman"/>
                <w:bCs/>
                <w:szCs w:val="24"/>
                <w:lang w:eastAsia="en-GB"/>
              </w:rPr>
              <w:t>.</w:t>
            </w:r>
            <w:r w:rsidR="009C41EE" w:rsidRPr="007F4B5E">
              <w:rPr>
                <w:b/>
              </w:rPr>
              <w:t xml:space="preserve"> **</w:t>
            </w:r>
          </w:p>
        </w:tc>
        <w:tc>
          <w:tcPr>
            <w:tcW w:w="1530" w:type="dxa"/>
          </w:tcPr>
          <w:p w14:paraId="7FFB3735" w14:textId="77777777" w:rsidR="00311A23" w:rsidRPr="007F4B5E" w:rsidRDefault="00311A23" w:rsidP="00C61EFC">
            <w:pPr>
              <w:jc w:val="center"/>
            </w:pPr>
          </w:p>
        </w:tc>
        <w:tc>
          <w:tcPr>
            <w:tcW w:w="1537" w:type="dxa"/>
          </w:tcPr>
          <w:p w14:paraId="6381FA17" w14:textId="77777777" w:rsidR="00311A23" w:rsidRPr="007F4B5E" w:rsidRDefault="00311A23" w:rsidP="00C61EFC">
            <w:pPr>
              <w:jc w:val="center"/>
            </w:pPr>
          </w:p>
        </w:tc>
      </w:tr>
      <w:tr w:rsidR="00311A23" w:rsidRPr="007F4B5E" w14:paraId="3FDB5873" w14:textId="77777777" w:rsidTr="00AF6174">
        <w:trPr>
          <w:gridAfter w:val="1"/>
          <w:wAfter w:w="15" w:type="dxa"/>
          <w:trHeight w:val="617"/>
          <w:jc w:val="center"/>
        </w:trPr>
        <w:tc>
          <w:tcPr>
            <w:tcW w:w="824" w:type="dxa"/>
          </w:tcPr>
          <w:p w14:paraId="7CC6BDB5" w14:textId="77777777" w:rsidR="00311A23" w:rsidRPr="007F4B5E" w:rsidRDefault="00311A23" w:rsidP="00C61EFC">
            <w:pPr>
              <w:jc w:val="center"/>
            </w:pPr>
            <w:r w:rsidRPr="007F4B5E">
              <w:t xml:space="preserve">4.1. </w:t>
            </w:r>
          </w:p>
        </w:tc>
        <w:tc>
          <w:tcPr>
            <w:tcW w:w="4864" w:type="dxa"/>
          </w:tcPr>
          <w:p w14:paraId="6F68B0AD" w14:textId="77777777" w:rsidR="00311A23" w:rsidRPr="007F4B5E" w:rsidRDefault="00311A23" w:rsidP="00C61EFC">
            <w:pPr>
              <w:rPr>
                <w:b/>
                <w:sz w:val="36"/>
                <w:szCs w:val="36"/>
              </w:rPr>
            </w:pPr>
            <w:r w:rsidRPr="007F4B5E">
              <w:t xml:space="preserve">viens objekts </w:t>
            </w:r>
          </w:p>
        </w:tc>
        <w:tc>
          <w:tcPr>
            <w:tcW w:w="1530" w:type="dxa"/>
          </w:tcPr>
          <w:p w14:paraId="1E4EDAA8" w14:textId="77777777" w:rsidR="00311A23" w:rsidRPr="007F4B5E" w:rsidRDefault="00311A23" w:rsidP="00C61EFC">
            <w:pPr>
              <w:jc w:val="center"/>
              <w:rPr>
                <w:b/>
                <w:bCs/>
              </w:rPr>
            </w:pPr>
            <w:r w:rsidRPr="007F4B5E">
              <w:rPr>
                <w:b/>
                <w:bCs/>
              </w:rPr>
              <w:t>3,00</w:t>
            </w:r>
          </w:p>
        </w:tc>
        <w:tc>
          <w:tcPr>
            <w:tcW w:w="1537" w:type="dxa"/>
          </w:tcPr>
          <w:p w14:paraId="5227119B" w14:textId="77777777" w:rsidR="00311A23" w:rsidRPr="007F4B5E" w:rsidRDefault="00311A23" w:rsidP="00C61EFC">
            <w:pPr>
              <w:jc w:val="center"/>
              <w:rPr>
                <w:b/>
                <w:bCs/>
              </w:rPr>
            </w:pPr>
            <w:r w:rsidRPr="007F4B5E">
              <w:rPr>
                <w:b/>
                <w:bCs/>
              </w:rPr>
              <w:t>3,63</w:t>
            </w:r>
          </w:p>
        </w:tc>
      </w:tr>
      <w:tr w:rsidR="005F7649" w:rsidRPr="007F4B5E" w14:paraId="613E7516" w14:textId="77777777" w:rsidTr="00AF6174">
        <w:trPr>
          <w:gridAfter w:val="1"/>
          <w:wAfter w:w="15" w:type="dxa"/>
          <w:jc w:val="center"/>
        </w:trPr>
        <w:tc>
          <w:tcPr>
            <w:tcW w:w="8755" w:type="dxa"/>
            <w:gridSpan w:val="4"/>
          </w:tcPr>
          <w:p w14:paraId="4EB06C7A" w14:textId="1573B706" w:rsidR="005F7649" w:rsidRPr="007F4B5E" w:rsidRDefault="005F7649" w:rsidP="00391D6C">
            <w:pPr>
              <w:jc w:val="both"/>
            </w:pPr>
            <w:r w:rsidRPr="007F4B5E">
              <w:rPr>
                <w:rFonts w:eastAsia="Times New Roman"/>
                <w:szCs w:val="24"/>
                <w:lang w:eastAsia="en-GB"/>
              </w:rPr>
              <w:t>** Atbilstoši 2018. gada 12. jūnija MK noteikumiem Nr. 326 ”Būvju klasifikācijas noteikumi”, šie objekti ir ēkas (kods 1), kompleksās būves rūpnieciskās ražošanas uzņēmumos (kods 23) un citas inženierbūves (kods 24). Ja minēto ēku\būvju izpildmērījums tiek iesniegts vienā plānā ar inženierkomunikāciju izpildmērījumu, tad papildus cenrāža punktam Nr. 4 tiek piemērots arī cenrāža 2. punkts.</w:t>
            </w:r>
          </w:p>
        </w:tc>
      </w:tr>
      <w:tr w:rsidR="005F7649" w:rsidRPr="007F4B5E" w14:paraId="24593669" w14:textId="77777777" w:rsidTr="00AF6174">
        <w:trPr>
          <w:gridAfter w:val="1"/>
          <w:wAfter w:w="15" w:type="dxa"/>
          <w:jc w:val="center"/>
        </w:trPr>
        <w:tc>
          <w:tcPr>
            <w:tcW w:w="8755" w:type="dxa"/>
            <w:gridSpan w:val="4"/>
          </w:tcPr>
          <w:p w14:paraId="3A031C15" w14:textId="650EDD05" w:rsidR="005F7649" w:rsidRPr="007F4B5E" w:rsidRDefault="005F7649" w:rsidP="00391D6C">
            <w:pPr>
              <w:jc w:val="both"/>
              <w:rPr>
                <w:b/>
                <w:bCs/>
              </w:rPr>
            </w:pPr>
            <w:r w:rsidRPr="007F4B5E">
              <w:t>Transporta būvju (kods 21 atbilstoši 2018. gada 12. jūnija MK noteikumiem Nr. 326 ”Būvju klasifikācijas noteikumi”) izpildmērījumu reģistrācijai, kā arī, ja transporta būvju izpildmērījuma plānā papildus tiek attēloti teritorijas labiekārtojuma elementi un/vai ēkas, būves, inženierkomunikācijas, cenas noteikšanai tiek piemēroti šī cenrāža 1.punkta nosacījumi.</w:t>
            </w:r>
          </w:p>
        </w:tc>
      </w:tr>
      <w:tr w:rsidR="00195921" w:rsidRPr="007F4B5E" w14:paraId="4DB77B70" w14:textId="77777777" w:rsidTr="00AF6174">
        <w:trPr>
          <w:gridAfter w:val="1"/>
          <w:wAfter w:w="15" w:type="dxa"/>
          <w:jc w:val="center"/>
        </w:trPr>
        <w:tc>
          <w:tcPr>
            <w:tcW w:w="824" w:type="dxa"/>
          </w:tcPr>
          <w:p w14:paraId="0D891963" w14:textId="77777777" w:rsidR="00195921" w:rsidRPr="007F4B5E" w:rsidRDefault="00195921" w:rsidP="00DD0E29">
            <w:pPr>
              <w:pStyle w:val="Sarakstarindkopa"/>
              <w:numPr>
                <w:ilvl w:val="0"/>
                <w:numId w:val="13"/>
              </w:numPr>
              <w:jc w:val="center"/>
            </w:pPr>
          </w:p>
        </w:tc>
        <w:tc>
          <w:tcPr>
            <w:tcW w:w="4864" w:type="dxa"/>
          </w:tcPr>
          <w:p w14:paraId="5F9FAA21" w14:textId="77777777" w:rsidR="00195921" w:rsidRPr="007F4B5E" w:rsidRDefault="00195921" w:rsidP="00DD0E29">
            <w:pPr>
              <w:rPr>
                <w:b/>
              </w:rPr>
            </w:pPr>
            <w:r w:rsidRPr="007F4B5E">
              <w:rPr>
                <w:b/>
              </w:rPr>
              <w:t>Detālplānojuma vai zemes ierīcības projekta reģistrācija</w:t>
            </w:r>
          </w:p>
        </w:tc>
        <w:tc>
          <w:tcPr>
            <w:tcW w:w="1530" w:type="dxa"/>
          </w:tcPr>
          <w:p w14:paraId="0B4E928D" w14:textId="77777777" w:rsidR="00195921" w:rsidRPr="007F4B5E" w:rsidRDefault="00195921" w:rsidP="00C61EFC">
            <w:pPr>
              <w:jc w:val="center"/>
              <w:rPr>
                <w:b/>
                <w:bCs/>
              </w:rPr>
            </w:pPr>
          </w:p>
        </w:tc>
        <w:tc>
          <w:tcPr>
            <w:tcW w:w="1537" w:type="dxa"/>
          </w:tcPr>
          <w:p w14:paraId="6058E78A" w14:textId="77777777" w:rsidR="00195921" w:rsidRPr="007F4B5E" w:rsidRDefault="00195921" w:rsidP="00C61EFC">
            <w:pPr>
              <w:jc w:val="center"/>
              <w:rPr>
                <w:b/>
                <w:bCs/>
              </w:rPr>
            </w:pPr>
          </w:p>
        </w:tc>
      </w:tr>
      <w:tr w:rsidR="00311A23" w:rsidRPr="007F4B5E" w14:paraId="5C01C9F3" w14:textId="77777777" w:rsidTr="00AF6174">
        <w:trPr>
          <w:gridAfter w:val="1"/>
          <w:wAfter w:w="15" w:type="dxa"/>
          <w:jc w:val="center"/>
        </w:trPr>
        <w:tc>
          <w:tcPr>
            <w:tcW w:w="824" w:type="dxa"/>
          </w:tcPr>
          <w:p w14:paraId="13075D85" w14:textId="77777777" w:rsidR="00311A23" w:rsidRPr="007F4B5E" w:rsidRDefault="00311A23" w:rsidP="00C61EFC">
            <w:pPr>
              <w:jc w:val="center"/>
            </w:pPr>
            <w:r w:rsidRPr="007F4B5E">
              <w:t>5.1.</w:t>
            </w:r>
          </w:p>
        </w:tc>
        <w:tc>
          <w:tcPr>
            <w:tcW w:w="4864" w:type="dxa"/>
          </w:tcPr>
          <w:p w14:paraId="1C9B6506" w14:textId="77777777" w:rsidR="00311A23" w:rsidRPr="007F4B5E" w:rsidRDefault="00311A23" w:rsidP="00C61EFC">
            <w:r w:rsidRPr="007F4B5E">
              <w:t>viens objekts (plānojums vai projekts)</w:t>
            </w:r>
          </w:p>
        </w:tc>
        <w:tc>
          <w:tcPr>
            <w:tcW w:w="1530" w:type="dxa"/>
          </w:tcPr>
          <w:p w14:paraId="107F6961" w14:textId="77777777" w:rsidR="00311A23" w:rsidRPr="007F4B5E" w:rsidRDefault="00311A23" w:rsidP="00C61EFC">
            <w:pPr>
              <w:jc w:val="center"/>
              <w:rPr>
                <w:b/>
                <w:bCs/>
              </w:rPr>
            </w:pPr>
            <w:r w:rsidRPr="007F4B5E">
              <w:rPr>
                <w:b/>
                <w:bCs/>
              </w:rPr>
              <w:t>10,00</w:t>
            </w:r>
          </w:p>
        </w:tc>
        <w:tc>
          <w:tcPr>
            <w:tcW w:w="1537" w:type="dxa"/>
          </w:tcPr>
          <w:p w14:paraId="02FA6BAF" w14:textId="77777777" w:rsidR="00311A23" w:rsidRPr="007F4B5E" w:rsidRDefault="00311A23" w:rsidP="00C61EFC">
            <w:pPr>
              <w:jc w:val="center"/>
              <w:rPr>
                <w:b/>
                <w:bCs/>
              </w:rPr>
            </w:pPr>
            <w:r w:rsidRPr="007F4B5E">
              <w:rPr>
                <w:b/>
                <w:bCs/>
              </w:rPr>
              <w:t>12,10</w:t>
            </w:r>
          </w:p>
        </w:tc>
      </w:tr>
      <w:tr w:rsidR="00311A23" w:rsidRPr="007F4B5E" w14:paraId="640A460F" w14:textId="77777777" w:rsidTr="00AF6174">
        <w:trPr>
          <w:gridAfter w:val="1"/>
          <w:wAfter w:w="15" w:type="dxa"/>
          <w:jc w:val="center"/>
        </w:trPr>
        <w:tc>
          <w:tcPr>
            <w:tcW w:w="824" w:type="dxa"/>
          </w:tcPr>
          <w:p w14:paraId="4BAD6404" w14:textId="77777777" w:rsidR="00311A23" w:rsidRPr="007F4B5E" w:rsidRDefault="00311A23" w:rsidP="00F82938">
            <w:pPr>
              <w:pStyle w:val="Sarakstarindkopa"/>
              <w:numPr>
                <w:ilvl w:val="0"/>
                <w:numId w:val="13"/>
              </w:numPr>
              <w:jc w:val="center"/>
            </w:pPr>
          </w:p>
        </w:tc>
        <w:tc>
          <w:tcPr>
            <w:tcW w:w="4864" w:type="dxa"/>
          </w:tcPr>
          <w:p w14:paraId="55E2DE25" w14:textId="77777777" w:rsidR="00311A23" w:rsidRPr="007F4B5E" w:rsidRDefault="00311A23" w:rsidP="00C61EFC">
            <w:pPr>
              <w:rPr>
                <w:b/>
              </w:rPr>
            </w:pPr>
            <w:r w:rsidRPr="007F4B5E">
              <w:rPr>
                <w:b/>
              </w:rPr>
              <w:t>Inženiertīklu pārskata shēmas noformēšana un nosūtīšana pasūtītājam  (pārskata shēma izmantojama tikai reklāmas objektu novietnei bez inženiertīklu pieslēgumiem un vienkāršoto inženiertīklu pievadu un iekšējo inženiertīklu izbūvei):</w:t>
            </w:r>
          </w:p>
        </w:tc>
        <w:tc>
          <w:tcPr>
            <w:tcW w:w="1530" w:type="dxa"/>
          </w:tcPr>
          <w:p w14:paraId="7B711278" w14:textId="77777777" w:rsidR="00311A23" w:rsidRPr="007F4B5E" w:rsidRDefault="00311A23" w:rsidP="00C61EFC">
            <w:pPr>
              <w:jc w:val="center"/>
            </w:pPr>
          </w:p>
        </w:tc>
        <w:tc>
          <w:tcPr>
            <w:tcW w:w="1537" w:type="dxa"/>
          </w:tcPr>
          <w:p w14:paraId="3BDE8E6A" w14:textId="77777777" w:rsidR="00311A23" w:rsidRPr="007F4B5E" w:rsidRDefault="00311A23" w:rsidP="00C61EFC">
            <w:pPr>
              <w:jc w:val="center"/>
            </w:pPr>
          </w:p>
        </w:tc>
      </w:tr>
      <w:tr w:rsidR="00311A23" w:rsidRPr="007F4B5E" w14:paraId="2DA51AA3" w14:textId="77777777" w:rsidTr="00AF6174">
        <w:trPr>
          <w:gridAfter w:val="1"/>
          <w:wAfter w:w="15" w:type="dxa"/>
          <w:jc w:val="center"/>
        </w:trPr>
        <w:tc>
          <w:tcPr>
            <w:tcW w:w="824" w:type="dxa"/>
          </w:tcPr>
          <w:p w14:paraId="792E8736" w14:textId="77777777" w:rsidR="00311A23" w:rsidRPr="007F4B5E" w:rsidRDefault="00311A23" w:rsidP="00C61EFC">
            <w:pPr>
              <w:jc w:val="center"/>
            </w:pPr>
            <w:r w:rsidRPr="007F4B5E">
              <w:t>6.1.</w:t>
            </w:r>
          </w:p>
        </w:tc>
        <w:tc>
          <w:tcPr>
            <w:tcW w:w="4864" w:type="dxa"/>
          </w:tcPr>
          <w:p w14:paraId="090613B0" w14:textId="77777777" w:rsidR="00311A23" w:rsidRPr="007F4B5E" w:rsidRDefault="00311A23" w:rsidP="00C61EFC">
            <w:r w:rsidRPr="007F4B5E">
              <w:t>objektam ar platību līdz 1,0 ha (ieskaitot), viens objekts</w:t>
            </w:r>
          </w:p>
        </w:tc>
        <w:tc>
          <w:tcPr>
            <w:tcW w:w="1530" w:type="dxa"/>
          </w:tcPr>
          <w:p w14:paraId="492DFE29" w14:textId="77777777" w:rsidR="00311A23" w:rsidRPr="007F4B5E" w:rsidRDefault="00311A23" w:rsidP="00C61EFC">
            <w:pPr>
              <w:jc w:val="center"/>
              <w:rPr>
                <w:b/>
                <w:bCs/>
              </w:rPr>
            </w:pPr>
            <w:r w:rsidRPr="007F4B5E">
              <w:rPr>
                <w:b/>
                <w:bCs/>
              </w:rPr>
              <w:t>0,00</w:t>
            </w:r>
          </w:p>
        </w:tc>
        <w:tc>
          <w:tcPr>
            <w:tcW w:w="1537" w:type="dxa"/>
          </w:tcPr>
          <w:p w14:paraId="047C3FB8" w14:textId="77777777" w:rsidR="00311A23" w:rsidRPr="007F4B5E" w:rsidRDefault="00311A23" w:rsidP="00C61EFC">
            <w:pPr>
              <w:jc w:val="center"/>
              <w:rPr>
                <w:b/>
                <w:bCs/>
              </w:rPr>
            </w:pPr>
            <w:r w:rsidRPr="007F4B5E">
              <w:rPr>
                <w:b/>
                <w:bCs/>
              </w:rPr>
              <w:t>0,00</w:t>
            </w:r>
          </w:p>
        </w:tc>
      </w:tr>
      <w:tr w:rsidR="00311A23" w:rsidRPr="007F4B5E" w14:paraId="630C3441" w14:textId="77777777" w:rsidTr="00AF6174">
        <w:trPr>
          <w:gridAfter w:val="1"/>
          <w:wAfter w:w="15" w:type="dxa"/>
          <w:jc w:val="center"/>
        </w:trPr>
        <w:tc>
          <w:tcPr>
            <w:tcW w:w="824" w:type="dxa"/>
          </w:tcPr>
          <w:p w14:paraId="31FB99CF" w14:textId="77777777" w:rsidR="00311A23" w:rsidRPr="007F4B5E" w:rsidRDefault="00311A23" w:rsidP="00F82938">
            <w:pPr>
              <w:pStyle w:val="Sarakstarindkopa"/>
              <w:numPr>
                <w:ilvl w:val="0"/>
                <w:numId w:val="13"/>
              </w:numPr>
              <w:jc w:val="center"/>
            </w:pPr>
          </w:p>
        </w:tc>
        <w:tc>
          <w:tcPr>
            <w:tcW w:w="4864" w:type="dxa"/>
          </w:tcPr>
          <w:p w14:paraId="1C4875B0" w14:textId="77777777" w:rsidR="00311A23" w:rsidRPr="007F4B5E" w:rsidRDefault="00311A23" w:rsidP="00C61EFC">
            <w:pPr>
              <w:rPr>
                <w:b/>
              </w:rPr>
            </w:pPr>
            <w:r w:rsidRPr="007F4B5E">
              <w:rPr>
                <w:b/>
              </w:rPr>
              <w:t>Informācijas izsniegšana zemes vienības robežplānu sagatavošanai vai citu mērniecības darbu veikšanai, kas nav minēti iepriekš minētajos punktos, vienā zemes vienībā:</w:t>
            </w:r>
          </w:p>
        </w:tc>
        <w:tc>
          <w:tcPr>
            <w:tcW w:w="1530" w:type="dxa"/>
          </w:tcPr>
          <w:p w14:paraId="22D7B276" w14:textId="77777777" w:rsidR="00311A23" w:rsidRPr="007F4B5E" w:rsidRDefault="00311A23" w:rsidP="00C61EFC">
            <w:pPr>
              <w:jc w:val="center"/>
            </w:pPr>
          </w:p>
        </w:tc>
        <w:tc>
          <w:tcPr>
            <w:tcW w:w="1537" w:type="dxa"/>
          </w:tcPr>
          <w:p w14:paraId="47E62452" w14:textId="77777777" w:rsidR="00311A23" w:rsidRPr="007F4B5E" w:rsidRDefault="00311A23" w:rsidP="00C61EFC">
            <w:pPr>
              <w:jc w:val="center"/>
            </w:pPr>
          </w:p>
        </w:tc>
      </w:tr>
      <w:tr w:rsidR="00311A23" w:rsidRPr="007F4B5E" w14:paraId="7EF9EE43" w14:textId="77777777" w:rsidTr="00AF6174">
        <w:trPr>
          <w:gridAfter w:val="1"/>
          <w:wAfter w:w="15" w:type="dxa"/>
          <w:jc w:val="center"/>
        </w:trPr>
        <w:tc>
          <w:tcPr>
            <w:tcW w:w="824" w:type="dxa"/>
          </w:tcPr>
          <w:p w14:paraId="663D92FA" w14:textId="77777777" w:rsidR="00311A23" w:rsidRPr="007F4B5E" w:rsidRDefault="00311A23" w:rsidP="00C61EFC">
            <w:pPr>
              <w:jc w:val="center"/>
            </w:pPr>
            <w:r w:rsidRPr="007F4B5E">
              <w:t>7.1.</w:t>
            </w:r>
          </w:p>
        </w:tc>
        <w:tc>
          <w:tcPr>
            <w:tcW w:w="4864" w:type="dxa"/>
          </w:tcPr>
          <w:p w14:paraId="633C7A34" w14:textId="77777777" w:rsidR="00311A23" w:rsidRPr="007F4B5E" w:rsidRDefault="00311A23" w:rsidP="00C61EFC">
            <w:r w:rsidRPr="007F4B5E">
              <w:t>viena zemes vienība</w:t>
            </w:r>
          </w:p>
        </w:tc>
        <w:tc>
          <w:tcPr>
            <w:tcW w:w="1530" w:type="dxa"/>
          </w:tcPr>
          <w:p w14:paraId="2229009F" w14:textId="77777777" w:rsidR="00311A23" w:rsidRPr="007F4B5E" w:rsidRDefault="00311A23" w:rsidP="00C61EFC">
            <w:pPr>
              <w:jc w:val="center"/>
              <w:rPr>
                <w:b/>
                <w:bCs/>
              </w:rPr>
            </w:pPr>
            <w:r w:rsidRPr="007F4B5E">
              <w:rPr>
                <w:b/>
                <w:bCs/>
              </w:rPr>
              <w:t>0,00</w:t>
            </w:r>
          </w:p>
        </w:tc>
        <w:tc>
          <w:tcPr>
            <w:tcW w:w="1537" w:type="dxa"/>
          </w:tcPr>
          <w:p w14:paraId="1A09A489" w14:textId="77777777" w:rsidR="00311A23" w:rsidRPr="007F4B5E" w:rsidRDefault="00311A23" w:rsidP="00C61EFC">
            <w:pPr>
              <w:jc w:val="center"/>
              <w:rPr>
                <w:b/>
                <w:bCs/>
              </w:rPr>
            </w:pPr>
            <w:r w:rsidRPr="007F4B5E">
              <w:rPr>
                <w:b/>
                <w:bCs/>
              </w:rPr>
              <w:t>0,00</w:t>
            </w:r>
          </w:p>
        </w:tc>
      </w:tr>
      <w:tr w:rsidR="00311A23" w:rsidRPr="007F4B5E" w14:paraId="50054998" w14:textId="77777777" w:rsidTr="00AF6174">
        <w:trPr>
          <w:gridAfter w:val="1"/>
          <w:wAfter w:w="15" w:type="dxa"/>
          <w:jc w:val="center"/>
        </w:trPr>
        <w:tc>
          <w:tcPr>
            <w:tcW w:w="824" w:type="dxa"/>
          </w:tcPr>
          <w:p w14:paraId="55368004" w14:textId="77777777" w:rsidR="00311A23" w:rsidRPr="007F4B5E" w:rsidRDefault="00311A23" w:rsidP="00F82938">
            <w:pPr>
              <w:pStyle w:val="Sarakstarindkopa"/>
              <w:numPr>
                <w:ilvl w:val="0"/>
                <w:numId w:val="13"/>
              </w:numPr>
              <w:jc w:val="center"/>
            </w:pPr>
          </w:p>
        </w:tc>
        <w:tc>
          <w:tcPr>
            <w:tcW w:w="4864" w:type="dxa"/>
          </w:tcPr>
          <w:p w14:paraId="26DA0713" w14:textId="77777777" w:rsidR="00311A23" w:rsidRPr="007F4B5E" w:rsidRDefault="00311A23" w:rsidP="00C61EFC">
            <w:pPr>
              <w:rPr>
                <w:b/>
              </w:rPr>
            </w:pPr>
            <w:r w:rsidRPr="007F4B5E">
              <w:rPr>
                <w:b/>
              </w:rPr>
              <w:t xml:space="preserve">Topogrāfiskās informācijas sagatavošana un izsniegšana digitālā formātā </w:t>
            </w:r>
          </w:p>
        </w:tc>
        <w:tc>
          <w:tcPr>
            <w:tcW w:w="1530" w:type="dxa"/>
          </w:tcPr>
          <w:p w14:paraId="154E33C7" w14:textId="77777777" w:rsidR="00311A23" w:rsidRPr="007F4B5E" w:rsidRDefault="00311A23" w:rsidP="00C61EFC">
            <w:pPr>
              <w:jc w:val="center"/>
            </w:pPr>
          </w:p>
        </w:tc>
        <w:tc>
          <w:tcPr>
            <w:tcW w:w="1537" w:type="dxa"/>
          </w:tcPr>
          <w:p w14:paraId="742524E5" w14:textId="77777777" w:rsidR="00311A23" w:rsidRPr="007F4B5E" w:rsidRDefault="00311A23" w:rsidP="00C61EFC">
            <w:pPr>
              <w:jc w:val="center"/>
            </w:pPr>
          </w:p>
        </w:tc>
      </w:tr>
      <w:tr w:rsidR="00311A23" w:rsidRPr="007F4B5E" w14:paraId="68D3BCDE" w14:textId="77777777" w:rsidTr="00AF6174">
        <w:trPr>
          <w:gridAfter w:val="1"/>
          <w:wAfter w:w="15" w:type="dxa"/>
          <w:jc w:val="center"/>
        </w:trPr>
        <w:tc>
          <w:tcPr>
            <w:tcW w:w="824" w:type="dxa"/>
          </w:tcPr>
          <w:p w14:paraId="75E53557" w14:textId="77777777" w:rsidR="00311A23" w:rsidRPr="007F4B5E" w:rsidRDefault="00311A23" w:rsidP="00C61EFC">
            <w:pPr>
              <w:jc w:val="center"/>
            </w:pPr>
            <w:r w:rsidRPr="007F4B5E">
              <w:t>8.1.</w:t>
            </w:r>
          </w:p>
        </w:tc>
        <w:tc>
          <w:tcPr>
            <w:tcW w:w="4864" w:type="dxa"/>
          </w:tcPr>
          <w:p w14:paraId="753C44BC" w14:textId="77777777" w:rsidR="00311A23" w:rsidRPr="007F4B5E" w:rsidRDefault="00311A23" w:rsidP="00C61EFC">
            <w:r w:rsidRPr="007F4B5E">
              <w:t>objekta platība līdz 25 ha (ieskaitot), viens objekts</w:t>
            </w:r>
          </w:p>
        </w:tc>
        <w:tc>
          <w:tcPr>
            <w:tcW w:w="1530" w:type="dxa"/>
          </w:tcPr>
          <w:p w14:paraId="2425E380" w14:textId="77777777" w:rsidR="00311A23" w:rsidRPr="007F4B5E" w:rsidRDefault="00311A23" w:rsidP="00C61EFC">
            <w:pPr>
              <w:jc w:val="center"/>
              <w:rPr>
                <w:b/>
                <w:bCs/>
              </w:rPr>
            </w:pPr>
            <w:r w:rsidRPr="007F4B5E">
              <w:rPr>
                <w:b/>
                <w:bCs/>
              </w:rPr>
              <w:t>0,00</w:t>
            </w:r>
          </w:p>
        </w:tc>
        <w:tc>
          <w:tcPr>
            <w:tcW w:w="1537" w:type="dxa"/>
          </w:tcPr>
          <w:p w14:paraId="5C955B13" w14:textId="77777777" w:rsidR="00311A23" w:rsidRPr="007F4B5E" w:rsidRDefault="00311A23" w:rsidP="00C61EFC">
            <w:pPr>
              <w:jc w:val="center"/>
            </w:pPr>
            <w:r w:rsidRPr="007F4B5E">
              <w:rPr>
                <w:b/>
                <w:bCs/>
              </w:rPr>
              <w:t>0,00</w:t>
            </w:r>
          </w:p>
        </w:tc>
      </w:tr>
      <w:tr w:rsidR="00311A23" w:rsidRPr="007F4B5E" w14:paraId="76DADCFB" w14:textId="77777777" w:rsidTr="00AF6174">
        <w:trPr>
          <w:gridAfter w:val="1"/>
          <w:wAfter w:w="15" w:type="dxa"/>
          <w:jc w:val="center"/>
        </w:trPr>
        <w:tc>
          <w:tcPr>
            <w:tcW w:w="824" w:type="dxa"/>
          </w:tcPr>
          <w:p w14:paraId="1E01901B" w14:textId="77777777" w:rsidR="00311A23" w:rsidRPr="007F4B5E" w:rsidRDefault="00311A23" w:rsidP="00C61EFC">
            <w:pPr>
              <w:jc w:val="center"/>
            </w:pPr>
            <w:r w:rsidRPr="007F4B5E">
              <w:t>8.2.</w:t>
            </w:r>
          </w:p>
        </w:tc>
        <w:tc>
          <w:tcPr>
            <w:tcW w:w="4864" w:type="dxa"/>
          </w:tcPr>
          <w:p w14:paraId="3D020E29" w14:textId="77777777" w:rsidR="00311A23" w:rsidRPr="007F4B5E" w:rsidRDefault="00311A23" w:rsidP="00C61EFC">
            <w:r w:rsidRPr="007F4B5E">
              <w:t>objekta platība virs 25 ha, papildus par katru nākamo ha</w:t>
            </w:r>
          </w:p>
        </w:tc>
        <w:tc>
          <w:tcPr>
            <w:tcW w:w="1530" w:type="dxa"/>
          </w:tcPr>
          <w:p w14:paraId="12E61722" w14:textId="77777777" w:rsidR="00311A23" w:rsidRPr="007F4B5E" w:rsidRDefault="00311A23" w:rsidP="00C61EFC">
            <w:pPr>
              <w:jc w:val="center"/>
              <w:rPr>
                <w:b/>
                <w:bCs/>
              </w:rPr>
            </w:pPr>
            <w:r w:rsidRPr="007F4B5E">
              <w:rPr>
                <w:b/>
                <w:bCs/>
              </w:rPr>
              <w:t>0,00</w:t>
            </w:r>
          </w:p>
        </w:tc>
        <w:tc>
          <w:tcPr>
            <w:tcW w:w="1537" w:type="dxa"/>
          </w:tcPr>
          <w:p w14:paraId="20123DD5" w14:textId="77777777" w:rsidR="00311A23" w:rsidRPr="007F4B5E" w:rsidRDefault="00311A23" w:rsidP="00C61EFC">
            <w:pPr>
              <w:jc w:val="center"/>
            </w:pPr>
            <w:r w:rsidRPr="007F4B5E">
              <w:rPr>
                <w:b/>
                <w:bCs/>
              </w:rPr>
              <w:t>0,00</w:t>
            </w:r>
          </w:p>
        </w:tc>
      </w:tr>
      <w:tr w:rsidR="00311A23" w:rsidRPr="007F4B5E" w14:paraId="432B825E" w14:textId="77777777" w:rsidTr="00AF6174">
        <w:trPr>
          <w:gridAfter w:val="1"/>
          <w:wAfter w:w="15" w:type="dxa"/>
          <w:jc w:val="center"/>
        </w:trPr>
        <w:tc>
          <w:tcPr>
            <w:tcW w:w="824" w:type="dxa"/>
          </w:tcPr>
          <w:p w14:paraId="455C89C3" w14:textId="77777777" w:rsidR="00311A23" w:rsidRPr="007F4B5E" w:rsidRDefault="00311A23" w:rsidP="00C61EFC">
            <w:pPr>
              <w:jc w:val="center"/>
            </w:pPr>
            <w:r w:rsidRPr="007F4B5E">
              <w:t>9.</w:t>
            </w:r>
          </w:p>
        </w:tc>
        <w:tc>
          <w:tcPr>
            <w:tcW w:w="4864" w:type="dxa"/>
          </w:tcPr>
          <w:p w14:paraId="0A1DCBFE" w14:textId="77777777" w:rsidR="00311A23" w:rsidRPr="00413B7F" w:rsidRDefault="00311A23" w:rsidP="00C61EFC">
            <w:pPr>
              <w:rPr>
                <w:b/>
              </w:rPr>
            </w:pPr>
            <w:r w:rsidRPr="00413B7F">
              <w:rPr>
                <w:b/>
              </w:rPr>
              <w:t>Demontāžas aktu pieņemšana un ienešana datu bāzē</w:t>
            </w:r>
          </w:p>
        </w:tc>
        <w:tc>
          <w:tcPr>
            <w:tcW w:w="1530" w:type="dxa"/>
          </w:tcPr>
          <w:p w14:paraId="3427940F" w14:textId="77777777" w:rsidR="00311A23" w:rsidRPr="007F4B5E" w:rsidRDefault="00311A23" w:rsidP="00C61EFC">
            <w:pPr>
              <w:jc w:val="center"/>
              <w:rPr>
                <w:b/>
                <w:bCs/>
              </w:rPr>
            </w:pPr>
          </w:p>
        </w:tc>
        <w:tc>
          <w:tcPr>
            <w:tcW w:w="1537" w:type="dxa"/>
          </w:tcPr>
          <w:p w14:paraId="6D67D38C" w14:textId="77777777" w:rsidR="00311A23" w:rsidRPr="007F4B5E" w:rsidRDefault="00311A23" w:rsidP="00C61EFC">
            <w:pPr>
              <w:rPr>
                <w:b/>
                <w:bCs/>
              </w:rPr>
            </w:pPr>
          </w:p>
        </w:tc>
      </w:tr>
      <w:tr w:rsidR="00311A23" w:rsidRPr="007F4B5E" w14:paraId="0A39042D" w14:textId="77777777" w:rsidTr="00AF6174">
        <w:trPr>
          <w:gridAfter w:val="1"/>
          <w:wAfter w:w="15" w:type="dxa"/>
          <w:jc w:val="center"/>
        </w:trPr>
        <w:tc>
          <w:tcPr>
            <w:tcW w:w="824" w:type="dxa"/>
          </w:tcPr>
          <w:p w14:paraId="77352830" w14:textId="77777777" w:rsidR="00311A23" w:rsidRPr="007F4B5E" w:rsidRDefault="00311A23" w:rsidP="00C61EFC">
            <w:pPr>
              <w:jc w:val="center"/>
            </w:pPr>
            <w:r w:rsidRPr="007F4B5E">
              <w:t>9.1.</w:t>
            </w:r>
          </w:p>
        </w:tc>
        <w:tc>
          <w:tcPr>
            <w:tcW w:w="4864" w:type="dxa"/>
          </w:tcPr>
          <w:p w14:paraId="4D53A3AF" w14:textId="77777777" w:rsidR="00311A23" w:rsidRPr="007F4B5E" w:rsidRDefault="00311A23" w:rsidP="00C61EFC">
            <w:r w:rsidRPr="007F4B5E">
              <w:t>Viens objekts, neatkarīgi no apjoma rādītājiem</w:t>
            </w:r>
          </w:p>
        </w:tc>
        <w:tc>
          <w:tcPr>
            <w:tcW w:w="1530" w:type="dxa"/>
          </w:tcPr>
          <w:p w14:paraId="1CBB604B" w14:textId="77777777" w:rsidR="00311A23" w:rsidRPr="007F4B5E" w:rsidRDefault="00311A23" w:rsidP="00C61EFC">
            <w:pPr>
              <w:jc w:val="center"/>
              <w:rPr>
                <w:b/>
                <w:bCs/>
              </w:rPr>
            </w:pPr>
            <w:r w:rsidRPr="007F4B5E">
              <w:rPr>
                <w:b/>
                <w:bCs/>
              </w:rPr>
              <w:t>0,00</w:t>
            </w:r>
          </w:p>
        </w:tc>
        <w:tc>
          <w:tcPr>
            <w:tcW w:w="1537" w:type="dxa"/>
          </w:tcPr>
          <w:p w14:paraId="5B69F06A" w14:textId="77777777" w:rsidR="00311A23" w:rsidRPr="007F4B5E" w:rsidRDefault="00311A23" w:rsidP="00C61EFC">
            <w:pPr>
              <w:jc w:val="center"/>
              <w:rPr>
                <w:b/>
                <w:bCs/>
              </w:rPr>
            </w:pPr>
            <w:r w:rsidRPr="007F4B5E">
              <w:rPr>
                <w:b/>
                <w:bCs/>
              </w:rPr>
              <w:t>0,00</w:t>
            </w:r>
          </w:p>
        </w:tc>
      </w:tr>
      <w:tr w:rsidR="00B1635F" w:rsidRPr="007F4B5E" w14:paraId="71E25CFB" w14:textId="77777777" w:rsidTr="00AF6174">
        <w:trPr>
          <w:jc w:val="center"/>
        </w:trPr>
        <w:tc>
          <w:tcPr>
            <w:tcW w:w="8770" w:type="dxa"/>
            <w:gridSpan w:val="5"/>
          </w:tcPr>
          <w:p w14:paraId="4861FAE1" w14:textId="77777777" w:rsidR="00B1635F" w:rsidRPr="007F4B5E" w:rsidRDefault="00B1635F" w:rsidP="00391D6C">
            <w:pPr>
              <w:jc w:val="both"/>
            </w:pPr>
            <w:r w:rsidRPr="007F4B5E">
              <w:rPr>
                <w:bCs/>
              </w:rPr>
              <w:t>Viens objekts - izpildmērījuma plāns vai topogrāfiskais plāns, kas elektroniskajā versijā atrodas vienā datnē, noformēts rakstlaukumos ar vienotu lappušu numerāciju, un attālums (grafiskā informācijas pārrāvums starp uzmērītajiem objektiem) nav lielāks par 100 metriem.</w:t>
            </w:r>
          </w:p>
        </w:tc>
      </w:tr>
    </w:tbl>
    <w:p w14:paraId="2B5099DA" w14:textId="1AB87EE2" w:rsidR="00857B68" w:rsidRDefault="009D0566" w:rsidP="00AF6174">
      <w:pPr>
        <w:tabs>
          <w:tab w:val="left" w:pos="3648"/>
        </w:tabs>
        <w:jc w:val="right"/>
      </w:pPr>
      <w:r>
        <w:t xml:space="preserve"> ”</w:t>
      </w:r>
    </w:p>
    <w:p w14:paraId="2F35053B" w14:textId="77777777" w:rsidR="009D0566" w:rsidRDefault="009D0566" w:rsidP="009D0566">
      <w:pPr>
        <w:tabs>
          <w:tab w:val="left" w:pos="3648"/>
        </w:tabs>
        <w:jc w:val="right"/>
      </w:pPr>
    </w:p>
    <w:p w14:paraId="193A787E" w14:textId="77777777" w:rsidR="009D0566" w:rsidRPr="009D0566" w:rsidRDefault="009D0566" w:rsidP="009D0566">
      <w:pPr>
        <w:jc w:val="both"/>
        <w:rPr>
          <w:rFonts w:eastAsia="Times New Roman"/>
          <w:szCs w:val="24"/>
          <w:lang w:eastAsia="lv-LV"/>
        </w:rPr>
      </w:pPr>
      <w:r w:rsidRPr="009D0566">
        <w:rPr>
          <w:rFonts w:eastAsia="Times New Roman"/>
          <w:szCs w:val="24"/>
          <w:lang w:eastAsia="lv-LV"/>
        </w:rPr>
        <w:t>Limbažu novada pašvaldības</w:t>
      </w:r>
    </w:p>
    <w:p w14:paraId="2016795C" w14:textId="481AB703" w:rsidR="009D0566" w:rsidRPr="002C673E" w:rsidRDefault="009D0566" w:rsidP="009D0566">
      <w:pPr>
        <w:jc w:val="both"/>
      </w:pPr>
      <w:r w:rsidRPr="009D0566">
        <w:rPr>
          <w:rFonts w:eastAsia="Times New Roman"/>
          <w:szCs w:val="24"/>
          <w:lang w:eastAsia="lv-LV"/>
        </w:rPr>
        <w:t>Domes priekšsēdētājs</w:t>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t>D. Zemmers</w:t>
      </w:r>
    </w:p>
    <w:sectPr w:rsidR="009D0566" w:rsidRPr="002C673E" w:rsidSect="00AC6BD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274EC" w14:textId="77777777" w:rsidR="00A66DD5" w:rsidRDefault="00A66DD5" w:rsidP="00A11554">
      <w:r>
        <w:separator/>
      </w:r>
    </w:p>
  </w:endnote>
  <w:endnote w:type="continuationSeparator" w:id="0">
    <w:p w14:paraId="27DF8EFD" w14:textId="77777777" w:rsidR="00A66DD5" w:rsidRDefault="00A66DD5" w:rsidP="00A1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2CA4C" w14:textId="77777777" w:rsidR="00AC6BD7" w:rsidRDefault="00AC6BD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7D38E" w14:textId="77777777" w:rsidR="00AC6BD7" w:rsidRDefault="00AC6BD7">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ABFB" w14:textId="77777777" w:rsidR="00AC6BD7" w:rsidRDefault="00AC6BD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84E83" w14:textId="77777777" w:rsidR="00A66DD5" w:rsidRDefault="00A66DD5" w:rsidP="00A11554">
      <w:r>
        <w:separator/>
      </w:r>
    </w:p>
  </w:footnote>
  <w:footnote w:type="continuationSeparator" w:id="0">
    <w:p w14:paraId="29DD97DD" w14:textId="77777777" w:rsidR="00A66DD5" w:rsidRDefault="00A66DD5" w:rsidP="00A1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3FB8D" w14:textId="77777777" w:rsidR="00AC6BD7" w:rsidRDefault="00AC6BD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bookmarkEnd w:id="0"/>
  <w:p w14:paraId="33747025" w14:textId="77777777" w:rsidR="00A11554" w:rsidRDefault="00A11554">
    <w:pPr>
      <w:pStyle w:val="Galvene"/>
      <w:jc w:val="center"/>
    </w:pPr>
    <w:r>
      <w:fldChar w:fldCharType="begin"/>
    </w:r>
    <w:r>
      <w:instrText>PAGE   \* MERGEFORMAT</w:instrText>
    </w:r>
    <w:r>
      <w:fldChar w:fldCharType="separate"/>
    </w:r>
    <w:r w:rsidR="00AC6BD7">
      <w:rPr>
        <w:noProof/>
      </w:rPr>
      <w:t>2</w:t>
    </w:r>
    <w:r>
      <w:fldChar w:fldCharType="end"/>
    </w:r>
  </w:p>
  <w:p w14:paraId="14FEF789" w14:textId="77777777" w:rsidR="00A11554" w:rsidRDefault="00A11554">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6FAC" w14:textId="22CB17DD" w:rsidR="00AF6174" w:rsidRDefault="00AF6174">
    <w:pPr>
      <w:pStyle w:val="Galvene"/>
    </w:pPr>
    <w:r w:rsidRPr="00AF6174">
      <w:rPr>
        <w:rFonts w:ascii="Calibri" w:eastAsia="Times New Roman" w:hAnsi="Calibri"/>
        <w:noProof/>
        <w:sz w:val="22"/>
        <w:lang w:eastAsia="lv-LV"/>
      </w:rPr>
      <w:drawing>
        <wp:anchor distT="0" distB="0" distL="114300" distR="114300" simplePos="0" relativeHeight="251657216" behindDoc="0" locked="0" layoutInCell="1" allowOverlap="1" wp14:anchorId="645F323B" wp14:editId="20E72567">
          <wp:simplePos x="0" y="0"/>
          <wp:positionH relativeFrom="column">
            <wp:posOffset>-974725</wp:posOffset>
          </wp:positionH>
          <wp:positionV relativeFrom="paragraph">
            <wp:posOffset>-448310</wp:posOffset>
          </wp:positionV>
          <wp:extent cx="7552690" cy="2327910"/>
          <wp:effectExtent l="0" t="0" r="0" b="0"/>
          <wp:wrapTopAndBottom/>
          <wp:docPr id="5" name="Attēls 5"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3D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C16813"/>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A7B28"/>
    <w:multiLevelType w:val="multilevel"/>
    <w:tmpl w:val="FC38BE2A"/>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6F5C0E"/>
    <w:multiLevelType w:val="multilevel"/>
    <w:tmpl w:val="7E5C33E4"/>
    <w:lvl w:ilvl="0">
      <w:start w:val="3"/>
      <w:numFmt w:val="decimal"/>
      <w:suff w:val="space"/>
      <w:lvlText w:val="%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4" w15:restartNumberingAfterBreak="0">
    <w:nsid w:val="3D8C7346"/>
    <w:multiLevelType w:val="hybridMultilevel"/>
    <w:tmpl w:val="36DAC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04559F0"/>
    <w:multiLevelType w:val="multilevel"/>
    <w:tmpl w:val="49B044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1C6163"/>
    <w:multiLevelType w:val="multilevel"/>
    <w:tmpl w:val="D35287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2425A1"/>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B1FE8"/>
    <w:multiLevelType w:val="hybridMultilevel"/>
    <w:tmpl w:val="587C23A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5467BB"/>
    <w:multiLevelType w:val="hybridMultilevel"/>
    <w:tmpl w:val="AF4A2E92"/>
    <w:lvl w:ilvl="0" w:tplc="9E9648F0">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F6B88"/>
    <w:multiLevelType w:val="hybridMultilevel"/>
    <w:tmpl w:val="5016F29C"/>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2E38F7"/>
    <w:multiLevelType w:val="multilevel"/>
    <w:tmpl w:val="47FCFEA6"/>
    <w:styleLink w:val="Style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A96B1B"/>
    <w:multiLevelType w:val="hybridMultilevel"/>
    <w:tmpl w:val="6DD278EC"/>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123040"/>
    <w:multiLevelType w:val="multilevel"/>
    <w:tmpl w:val="BB8EAE64"/>
    <w:lvl w:ilvl="0">
      <w:start w:val="12"/>
      <w:numFmt w:val="decimal"/>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9"/>
  </w:num>
  <w:num w:numId="3">
    <w:abstractNumId w:val="6"/>
  </w:num>
  <w:num w:numId="4">
    <w:abstractNumId w:val="11"/>
  </w:num>
  <w:num w:numId="5">
    <w:abstractNumId w:val="3"/>
  </w:num>
  <w:num w:numId="6">
    <w:abstractNumId w:val="2"/>
  </w:num>
  <w:num w:numId="7">
    <w:abstractNumId w:val="13"/>
  </w:num>
  <w:num w:numId="8">
    <w:abstractNumId w:val="10"/>
  </w:num>
  <w:num w:numId="9">
    <w:abstractNumId w:val="5"/>
  </w:num>
  <w:num w:numId="10">
    <w:abstractNumId w:val="4"/>
  </w:num>
  <w:num w:numId="11">
    <w:abstractNumId w:val="8"/>
  </w:num>
  <w:num w:numId="12">
    <w:abstractNumId w:val="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FA"/>
    <w:rsid w:val="00006C13"/>
    <w:rsid w:val="00025603"/>
    <w:rsid w:val="00025F81"/>
    <w:rsid w:val="00031C9F"/>
    <w:rsid w:val="00061D51"/>
    <w:rsid w:val="000677FA"/>
    <w:rsid w:val="000747B9"/>
    <w:rsid w:val="0007703B"/>
    <w:rsid w:val="000847FA"/>
    <w:rsid w:val="00086555"/>
    <w:rsid w:val="00091C14"/>
    <w:rsid w:val="000B1708"/>
    <w:rsid w:val="000B421B"/>
    <w:rsid w:val="000B7B42"/>
    <w:rsid w:val="000C47CB"/>
    <w:rsid w:val="000F756B"/>
    <w:rsid w:val="001005B4"/>
    <w:rsid w:val="00102F1E"/>
    <w:rsid w:val="001167CF"/>
    <w:rsid w:val="00126BD2"/>
    <w:rsid w:val="0014401F"/>
    <w:rsid w:val="001614CF"/>
    <w:rsid w:val="00161F53"/>
    <w:rsid w:val="00177246"/>
    <w:rsid w:val="00180EB6"/>
    <w:rsid w:val="0018208D"/>
    <w:rsid w:val="001844C4"/>
    <w:rsid w:val="00184995"/>
    <w:rsid w:val="001902F0"/>
    <w:rsid w:val="001958CB"/>
    <w:rsid w:val="00195921"/>
    <w:rsid w:val="001B3289"/>
    <w:rsid w:val="001B6785"/>
    <w:rsid w:val="001B6DD6"/>
    <w:rsid w:val="001C2376"/>
    <w:rsid w:val="001E4854"/>
    <w:rsid w:val="001E6A96"/>
    <w:rsid w:val="001F74FD"/>
    <w:rsid w:val="00207499"/>
    <w:rsid w:val="00217262"/>
    <w:rsid w:val="00223A97"/>
    <w:rsid w:val="00230342"/>
    <w:rsid w:val="0023431D"/>
    <w:rsid w:val="00241417"/>
    <w:rsid w:val="00246D42"/>
    <w:rsid w:val="0025176F"/>
    <w:rsid w:val="00252EA4"/>
    <w:rsid w:val="00254109"/>
    <w:rsid w:val="002622AF"/>
    <w:rsid w:val="0026272B"/>
    <w:rsid w:val="0027132E"/>
    <w:rsid w:val="00277806"/>
    <w:rsid w:val="00281210"/>
    <w:rsid w:val="002833CD"/>
    <w:rsid w:val="002A3952"/>
    <w:rsid w:val="002C673E"/>
    <w:rsid w:val="002C7CEF"/>
    <w:rsid w:val="002D23C6"/>
    <w:rsid w:val="002D27BA"/>
    <w:rsid w:val="002D45CD"/>
    <w:rsid w:val="002E218E"/>
    <w:rsid w:val="002F7AF3"/>
    <w:rsid w:val="00304694"/>
    <w:rsid w:val="00311A23"/>
    <w:rsid w:val="00321A48"/>
    <w:rsid w:val="00322FBD"/>
    <w:rsid w:val="00334078"/>
    <w:rsid w:val="00334490"/>
    <w:rsid w:val="0035221C"/>
    <w:rsid w:val="00362423"/>
    <w:rsid w:val="0036296A"/>
    <w:rsid w:val="00370D66"/>
    <w:rsid w:val="00374F0C"/>
    <w:rsid w:val="00376A5D"/>
    <w:rsid w:val="00380DB5"/>
    <w:rsid w:val="0038505E"/>
    <w:rsid w:val="00386619"/>
    <w:rsid w:val="00391D6C"/>
    <w:rsid w:val="003A012E"/>
    <w:rsid w:val="003A18D9"/>
    <w:rsid w:val="003B5139"/>
    <w:rsid w:val="003B5A11"/>
    <w:rsid w:val="003C11DC"/>
    <w:rsid w:val="003C62F6"/>
    <w:rsid w:val="003D3D25"/>
    <w:rsid w:val="003D403C"/>
    <w:rsid w:val="003E0527"/>
    <w:rsid w:val="003E1793"/>
    <w:rsid w:val="003F3922"/>
    <w:rsid w:val="003F542F"/>
    <w:rsid w:val="00401BA8"/>
    <w:rsid w:val="00403BC6"/>
    <w:rsid w:val="00413B7F"/>
    <w:rsid w:val="004541E8"/>
    <w:rsid w:val="0045606B"/>
    <w:rsid w:val="00467A5E"/>
    <w:rsid w:val="00474954"/>
    <w:rsid w:val="00477BB1"/>
    <w:rsid w:val="00480AAD"/>
    <w:rsid w:val="00485BFB"/>
    <w:rsid w:val="00486CA0"/>
    <w:rsid w:val="00494668"/>
    <w:rsid w:val="00497E22"/>
    <w:rsid w:val="004A4B87"/>
    <w:rsid w:val="004B3E37"/>
    <w:rsid w:val="004E1194"/>
    <w:rsid w:val="004E2144"/>
    <w:rsid w:val="00501C4B"/>
    <w:rsid w:val="005110D1"/>
    <w:rsid w:val="0051511A"/>
    <w:rsid w:val="00530066"/>
    <w:rsid w:val="005316B8"/>
    <w:rsid w:val="005424E1"/>
    <w:rsid w:val="00547A04"/>
    <w:rsid w:val="00561A3C"/>
    <w:rsid w:val="00570A1D"/>
    <w:rsid w:val="005778BC"/>
    <w:rsid w:val="005D4340"/>
    <w:rsid w:val="005E1AF2"/>
    <w:rsid w:val="005E1E56"/>
    <w:rsid w:val="005E3737"/>
    <w:rsid w:val="005F0985"/>
    <w:rsid w:val="005F7649"/>
    <w:rsid w:val="0060756A"/>
    <w:rsid w:val="006127AC"/>
    <w:rsid w:val="00612D33"/>
    <w:rsid w:val="00664821"/>
    <w:rsid w:val="00666414"/>
    <w:rsid w:val="0067742D"/>
    <w:rsid w:val="006B2263"/>
    <w:rsid w:val="006C0770"/>
    <w:rsid w:val="006D0E73"/>
    <w:rsid w:val="006D158F"/>
    <w:rsid w:val="006D7E6B"/>
    <w:rsid w:val="006E65D3"/>
    <w:rsid w:val="00717082"/>
    <w:rsid w:val="007379C1"/>
    <w:rsid w:val="00737BB5"/>
    <w:rsid w:val="007505D6"/>
    <w:rsid w:val="00774674"/>
    <w:rsid w:val="00774A97"/>
    <w:rsid w:val="007905AD"/>
    <w:rsid w:val="007930A3"/>
    <w:rsid w:val="00794CEA"/>
    <w:rsid w:val="007A5644"/>
    <w:rsid w:val="007C7B7B"/>
    <w:rsid w:val="007D0943"/>
    <w:rsid w:val="007D0F72"/>
    <w:rsid w:val="007E4FD5"/>
    <w:rsid w:val="007F4B5E"/>
    <w:rsid w:val="007F7C60"/>
    <w:rsid w:val="008069A4"/>
    <w:rsid w:val="00820C5D"/>
    <w:rsid w:val="00821444"/>
    <w:rsid w:val="00830303"/>
    <w:rsid w:val="00843DF2"/>
    <w:rsid w:val="008508D7"/>
    <w:rsid w:val="00850BFE"/>
    <w:rsid w:val="00857B68"/>
    <w:rsid w:val="008634AF"/>
    <w:rsid w:val="00863633"/>
    <w:rsid w:val="00871AF1"/>
    <w:rsid w:val="008773BA"/>
    <w:rsid w:val="00891B9F"/>
    <w:rsid w:val="008A568A"/>
    <w:rsid w:val="008B0A9E"/>
    <w:rsid w:val="008B2EF5"/>
    <w:rsid w:val="008D353E"/>
    <w:rsid w:val="008F306F"/>
    <w:rsid w:val="00905182"/>
    <w:rsid w:val="009143FD"/>
    <w:rsid w:val="009373F3"/>
    <w:rsid w:val="009531A1"/>
    <w:rsid w:val="00967535"/>
    <w:rsid w:val="00971EBF"/>
    <w:rsid w:val="00972CE0"/>
    <w:rsid w:val="00993233"/>
    <w:rsid w:val="009B63C3"/>
    <w:rsid w:val="009C31A7"/>
    <w:rsid w:val="009C41EE"/>
    <w:rsid w:val="009C6A25"/>
    <w:rsid w:val="009D0566"/>
    <w:rsid w:val="009E052A"/>
    <w:rsid w:val="009E20BE"/>
    <w:rsid w:val="009E3A62"/>
    <w:rsid w:val="009F6E50"/>
    <w:rsid w:val="00A01BD3"/>
    <w:rsid w:val="00A05056"/>
    <w:rsid w:val="00A06C8A"/>
    <w:rsid w:val="00A1108B"/>
    <w:rsid w:val="00A11554"/>
    <w:rsid w:val="00A1352A"/>
    <w:rsid w:val="00A24309"/>
    <w:rsid w:val="00A26563"/>
    <w:rsid w:val="00A26AEC"/>
    <w:rsid w:val="00A37271"/>
    <w:rsid w:val="00A37DD3"/>
    <w:rsid w:val="00A519A0"/>
    <w:rsid w:val="00A55D54"/>
    <w:rsid w:val="00A57124"/>
    <w:rsid w:val="00A61376"/>
    <w:rsid w:val="00A61DA0"/>
    <w:rsid w:val="00A64099"/>
    <w:rsid w:val="00A65DB1"/>
    <w:rsid w:val="00A66DD5"/>
    <w:rsid w:val="00A71739"/>
    <w:rsid w:val="00A73B2C"/>
    <w:rsid w:val="00A73DD3"/>
    <w:rsid w:val="00A82548"/>
    <w:rsid w:val="00A904C4"/>
    <w:rsid w:val="00AA687A"/>
    <w:rsid w:val="00AA6A0C"/>
    <w:rsid w:val="00AC6B3C"/>
    <w:rsid w:val="00AC6BD7"/>
    <w:rsid w:val="00AE33B7"/>
    <w:rsid w:val="00AE42A9"/>
    <w:rsid w:val="00AE59C7"/>
    <w:rsid w:val="00AF6174"/>
    <w:rsid w:val="00B0636E"/>
    <w:rsid w:val="00B161C1"/>
    <w:rsid w:val="00B1635F"/>
    <w:rsid w:val="00B20348"/>
    <w:rsid w:val="00B302E5"/>
    <w:rsid w:val="00B332D3"/>
    <w:rsid w:val="00B33D70"/>
    <w:rsid w:val="00B370ED"/>
    <w:rsid w:val="00B4367E"/>
    <w:rsid w:val="00B56A2B"/>
    <w:rsid w:val="00B64B1B"/>
    <w:rsid w:val="00B7777D"/>
    <w:rsid w:val="00B83C08"/>
    <w:rsid w:val="00B84002"/>
    <w:rsid w:val="00B8401C"/>
    <w:rsid w:val="00B8793F"/>
    <w:rsid w:val="00BA587C"/>
    <w:rsid w:val="00BD186A"/>
    <w:rsid w:val="00BF0168"/>
    <w:rsid w:val="00BF4353"/>
    <w:rsid w:val="00BF7CF2"/>
    <w:rsid w:val="00C04F00"/>
    <w:rsid w:val="00C0734B"/>
    <w:rsid w:val="00C07C5B"/>
    <w:rsid w:val="00C102A5"/>
    <w:rsid w:val="00C174B2"/>
    <w:rsid w:val="00C320D5"/>
    <w:rsid w:val="00C37DE0"/>
    <w:rsid w:val="00C61B51"/>
    <w:rsid w:val="00C64DB5"/>
    <w:rsid w:val="00C70E19"/>
    <w:rsid w:val="00CA102F"/>
    <w:rsid w:val="00CB682C"/>
    <w:rsid w:val="00CC0784"/>
    <w:rsid w:val="00CC1DD7"/>
    <w:rsid w:val="00CD2935"/>
    <w:rsid w:val="00CD42D2"/>
    <w:rsid w:val="00CE4F47"/>
    <w:rsid w:val="00CF5FAE"/>
    <w:rsid w:val="00CF68E2"/>
    <w:rsid w:val="00D021A3"/>
    <w:rsid w:val="00D04817"/>
    <w:rsid w:val="00D06C76"/>
    <w:rsid w:val="00D168C8"/>
    <w:rsid w:val="00D2038D"/>
    <w:rsid w:val="00D229C6"/>
    <w:rsid w:val="00D301FC"/>
    <w:rsid w:val="00D31EAE"/>
    <w:rsid w:val="00D408CA"/>
    <w:rsid w:val="00D53F5F"/>
    <w:rsid w:val="00D5449C"/>
    <w:rsid w:val="00D578A7"/>
    <w:rsid w:val="00D6435F"/>
    <w:rsid w:val="00D67596"/>
    <w:rsid w:val="00D762DD"/>
    <w:rsid w:val="00DB199B"/>
    <w:rsid w:val="00DC61D6"/>
    <w:rsid w:val="00DD0573"/>
    <w:rsid w:val="00DF554D"/>
    <w:rsid w:val="00E04546"/>
    <w:rsid w:val="00E10A9A"/>
    <w:rsid w:val="00E13940"/>
    <w:rsid w:val="00E16F70"/>
    <w:rsid w:val="00E236C0"/>
    <w:rsid w:val="00E344A3"/>
    <w:rsid w:val="00E4139A"/>
    <w:rsid w:val="00E43308"/>
    <w:rsid w:val="00E7153B"/>
    <w:rsid w:val="00E77750"/>
    <w:rsid w:val="00E80211"/>
    <w:rsid w:val="00EA000F"/>
    <w:rsid w:val="00EA37B6"/>
    <w:rsid w:val="00EC63AE"/>
    <w:rsid w:val="00ED2BBB"/>
    <w:rsid w:val="00ED32C0"/>
    <w:rsid w:val="00ED4393"/>
    <w:rsid w:val="00ED6742"/>
    <w:rsid w:val="00ED7EFC"/>
    <w:rsid w:val="00EE5F6A"/>
    <w:rsid w:val="00EF2613"/>
    <w:rsid w:val="00EF379C"/>
    <w:rsid w:val="00EF7875"/>
    <w:rsid w:val="00F03FEE"/>
    <w:rsid w:val="00F160A1"/>
    <w:rsid w:val="00F235E4"/>
    <w:rsid w:val="00F35B89"/>
    <w:rsid w:val="00F44172"/>
    <w:rsid w:val="00F5435A"/>
    <w:rsid w:val="00F82938"/>
    <w:rsid w:val="00F850AC"/>
    <w:rsid w:val="00F909AD"/>
    <w:rsid w:val="00F931DB"/>
    <w:rsid w:val="00FA1552"/>
    <w:rsid w:val="00FA79D7"/>
    <w:rsid w:val="00FB4D71"/>
    <w:rsid w:val="00FB5D83"/>
    <w:rsid w:val="00FB611D"/>
    <w:rsid w:val="00FC6C18"/>
    <w:rsid w:val="00FD3579"/>
    <w:rsid w:val="00FE2EB5"/>
    <w:rsid w:val="00FF77D2"/>
    <w:rsid w:val="00FF7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6A8FD"/>
  <w15:docId w15:val="{A5056611-CA26-4E22-816D-E1B7C35C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46D42"/>
    <w:rPr>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8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086555"/>
    <w:pPr>
      <w:ind w:left="720"/>
      <w:contextualSpacing/>
    </w:pPr>
  </w:style>
  <w:style w:type="numbering" w:customStyle="1" w:styleId="Style1">
    <w:name w:val="Style1"/>
    <w:uiPriority w:val="99"/>
    <w:rsid w:val="00ED2BBB"/>
    <w:pPr>
      <w:numPr>
        <w:numId w:val="4"/>
      </w:numPr>
    </w:pPr>
  </w:style>
  <w:style w:type="paragraph" w:styleId="Galvene">
    <w:name w:val="header"/>
    <w:basedOn w:val="Parasts"/>
    <w:link w:val="GalveneRakstz"/>
    <w:uiPriority w:val="99"/>
    <w:unhideWhenUsed/>
    <w:rsid w:val="00A11554"/>
    <w:pPr>
      <w:tabs>
        <w:tab w:val="center" w:pos="4153"/>
        <w:tab w:val="right" w:pos="8306"/>
      </w:tabs>
    </w:pPr>
  </w:style>
  <w:style w:type="character" w:customStyle="1" w:styleId="GalveneRakstz">
    <w:name w:val="Galvene Rakstz."/>
    <w:link w:val="Galvene"/>
    <w:uiPriority w:val="99"/>
    <w:rsid w:val="00A11554"/>
    <w:rPr>
      <w:lang w:val="lv-LV"/>
    </w:rPr>
  </w:style>
  <w:style w:type="paragraph" w:styleId="Kjene">
    <w:name w:val="footer"/>
    <w:basedOn w:val="Parasts"/>
    <w:link w:val="KjeneRakstz"/>
    <w:uiPriority w:val="99"/>
    <w:unhideWhenUsed/>
    <w:rsid w:val="00A11554"/>
    <w:pPr>
      <w:tabs>
        <w:tab w:val="center" w:pos="4153"/>
        <w:tab w:val="right" w:pos="8306"/>
      </w:tabs>
    </w:pPr>
  </w:style>
  <w:style w:type="character" w:customStyle="1" w:styleId="KjeneRakstz">
    <w:name w:val="Kājene Rakstz."/>
    <w:link w:val="Kjene"/>
    <w:uiPriority w:val="99"/>
    <w:rsid w:val="00A11554"/>
    <w:rPr>
      <w:lang w:val="lv-LV"/>
    </w:rPr>
  </w:style>
  <w:style w:type="paragraph" w:styleId="Balonteksts">
    <w:name w:val="Balloon Text"/>
    <w:basedOn w:val="Parasts"/>
    <w:link w:val="BalontekstsRakstz"/>
    <w:uiPriority w:val="99"/>
    <w:semiHidden/>
    <w:unhideWhenUsed/>
    <w:rsid w:val="00AE33B7"/>
    <w:rPr>
      <w:rFonts w:ascii="Segoe UI" w:hAnsi="Segoe UI" w:cs="Segoe UI"/>
      <w:sz w:val="18"/>
      <w:szCs w:val="18"/>
    </w:rPr>
  </w:style>
  <w:style w:type="character" w:customStyle="1" w:styleId="BalontekstsRakstz">
    <w:name w:val="Balonteksts Rakstz."/>
    <w:link w:val="Balonteksts"/>
    <w:uiPriority w:val="99"/>
    <w:semiHidden/>
    <w:rsid w:val="00AE33B7"/>
    <w:rPr>
      <w:rFonts w:ascii="Segoe UI" w:hAnsi="Segoe UI" w:cs="Segoe UI"/>
      <w:sz w:val="18"/>
      <w:szCs w:val="18"/>
      <w:lang w:val="lv-LV"/>
    </w:rPr>
  </w:style>
  <w:style w:type="paragraph" w:customStyle="1" w:styleId="naisf">
    <w:name w:val="naisf"/>
    <w:basedOn w:val="Parasts"/>
    <w:rsid w:val="00CD42D2"/>
    <w:pPr>
      <w:spacing w:before="75" w:after="75"/>
      <w:ind w:firstLine="375"/>
      <w:jc w:val="both"/>
    </w:pPr>
    <w:rPr>
      <w:rFonts w:eastAsia="Times New Roman"/>
      <w:szCs w:val="24"/>
      <w:lang w:eastAsia="lv-LV"/>
    </w:rPr>
  </w:style>
  <w:style w:type="paragraph" w:customStyle="1" w:styleId="Default">
    <w:name w:val="Default"/>
    <w:rsid w:val="00CD42D2"/>
    <w:pPr>
      <w:autoSpaceDE w:val="0"/>
      <w:autoSpaceDN w:val="0"/>
      <w:adjustRightInd w:val="0"/>
    </w:pPr>
    <w:rPr>
      <w:color w:val="000000"/>
      <w:sz w:val="24"/>
      <w:szCs w:val="24"/>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2C673E"/>
    <w:rPr>
      <w:sz w:val="24"/>
      <w:szCs w:val="22"/>
      <w:lang w:eastAsia="en-US"/>
    </w:rPr>
  </w:style>
  <w:style w:type="character" w:styleId="Izteiksmgs">
    <w:name w:val="Strong"/>
    <w:basedOn w:val="Noklusjumarindkopasfonts"/>
    <w:uiPriority w:val="22"/>
    <w:qFormat/>
    <w:rsid w:val="00F82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908847">
      <w:bodyDiv w:val="1"/>
      <w:marLeft w:val="0"/>
      <w:marRight w:val="0"/>
      <w:marTop w:val="0"/>
      <w:marBottom w:val="0"/>
      <w:divBdr>
        <w:top w:val="none" w:sz="0" w:space="0" w:color="auto"/>
        <w:left w:val="none" w:sz="0" w:space="0" w:color="auto"/>
        <w:bottom w:val="none" w:sz="0" w:space="0" w:color="auto"/>
        <w:right w:val="none" w:sz="0" w:space="0" w:color="auto"/>
      </w:divBdr>
      <w:divsChild>
        <w:div w:id="300621740">
          <w:marLeft w:val="0"/>
          <w:marRight w:val="0"/>
          <w:marTop w:val="0"/>
          <w:marBottom w:val="0"/>
          <w:divBdr>
            <w:top w:val="none" w:sz="0" w:space="0" w:color="auto"/>
            <w:left w:val="none" w:sz="0" w:space="0" w:color="auto"/>
            <w:bottom w:val="none" w:sz="0" w:space="0" w:color="auto"/>
            <w:right w:val="none" w:sz="0" w:space="0" w:color="auto"/>
          </w:divBdr>
        </w:div>
        <w:div w:id="397477948">
          <w:marLeft w:val="0"/>
          <w:marRight w:val="0"/>
          <w:marTop w:val="0"/>
          <w:marBottom w:val="0"/>
          <w:divBdr>
            <w:top w:val="none" w:sz="0" w:space="0" w:color="auto"/>
            <w:left w:val="none" w:sz="0" w:space="0" w:color="auto"/>
            <w:bottom w:val="none" w:sz="0" w:space="0" w:color="auto"/>
            <w:right w:val="none" w:sz="0" w:space="0" w:color="auto"/>
          </w:divBdr>
        </w:div>
        <w:div w:id="1330207330">
          <w:marLeft w:val="0"/>
          <w:marRight w:val="0"/>
          <w:marTop w:val="0"/>
          <w:marBottom w:val="0"/>
          <w:divBdr>
            <w:top w:val="none" w:sz="0" w:space="0" w:color="auto"/>
            <w:left w:val="none" w:sz="0" w:space="0" w:color="auto"/>
            <w:bottom w:val="none" w:sz="0" w:space="0" w:color="auto"/>
            <w:right w:val="none" w:sz="0" w:space="0" w:color="auto"/>
          </w:divBdr>
        </w:div>
        <w:div w:id="1752191349">
          <w:marLeft w:val="0"/>
          <w:marRight w:val="0"/>
          <w:marTop w:val="0"/>
          <w:marBottom w:val="0"/>
          <w:divBdr>
            <w:top w:val="none" w:sz="0" w:space="0" w:color="auto"/>
            <w:left w:val="none" w:sz="0" w:space="0" w:color="auto"/>
            <w:bottom w:val="none" w:sz="0" w:space="0" w:color="auto"/>
            <w:right w:val="none" w:sz="0" w:space="0" w:color="auto"/>
          </w:divBdr>
        </w:div>
      </w:divsChild>
    </w:div>
    <w:div w:id="11753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3210</Words>
  <Characters>1830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Dace Tauriņa</cp:lastModifiedBy>
  <cp:revision>16</cp:revision>
  <cp:lastPrinted>2021-03-29T10:38:00Z</cp:lastPrinted>
  <dcterms:created xsi:type="dcterms:W3CDTF">2021-03-08T15:35:00Z</dcterms:created>
  <dcterms:modified xsi:type="dcterms:W3CDTF">2021-03-29T10:39:00Z</dcterms:modified>
</cp:coreProperties>
</file>