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A073EF">
      <w:pPr>
        <w:snapToGrid w:val="0"/>
        <w:jc w:val="center"/>
        <w:rPr>
          <w:b/>
        </w:rPr>
      </w:pPr>
      <w:r w:rsidRPr="00F33075">
        <w:t>Limbažos</w:t>
      </w:r>
    </w:p>
    <w:p w:rsidR="00A073EF" w:rsidRPr="00F33075" w:rsidRDefault="00A073EF" w:rsidP="00A073EF">
      <w:pPr>
        <w:snapToGrid w:val="0"/>
        <w:rPr>
          <w:b/>
        </w:rPr>
      </w:pPr>
    </w:p>
    <w:p w:rsidR="00FB7E21" w:rsidRPr="00FB7E21" w:rsidRDefault="00FB7E21" w:rsidP="00FB7E21">
      <w:pPr>
        <w:jc w:val="center"/>
        <w:rPr>
          <w:b/>
          <w:bCs/>
          <w:lang w:eastAsia="en-US"/>
        </w:rPr>
      </w:pPr>
      <w:r w:rsidRPr="00FB7E21">
        <w:rPr>
          <w:b/>
          <w:bCs/>
          <w:lang w:eastAsia="en-US"/>
        </w:rPr>
        <w:t>PASKAIDROJUMA RAKSTS</w:t>
      </w:r>
    </w:p>
    <w:p w:rsidR="00FB7E21" w:rsidRPr="00FB7E21" w:rsidRDefault="00FB7E21" w:rsidP="00FB7E21">
      <w:pPr>
        <w:jc w:val="center"/>
        <w:rPr>
          <w:b/>
          <w:color w:val="000000"/>
          <w:lang w:eastAsia="en-US"/>
        </w:rPr>
      </w:pPr>
      <w:r w:rsidRPr="00FB7E21">
        <w:rPr>
          <w:b/>
          <w:color w:val="000000"/>
          <w:lang w:eastAsia="en-US"/>
        </w:rPr>
        <w:t xml:space="preserve">Limbažu novada pašvaldības 2020.gada </w:t>
      </w:r>
      <w:r w:rsidR="00F11EDA">
        <w:rPr>
          <w:b/>
          <w:color w:val="000000"/>
          <w:lang w:eastAsia="en-US"/>
        </w:rPr>
        <w:t>30</w:t>
      </w:r>
      <w:r w:rsidRPr="00FB7E21">
        <w:rPr>
          <w:b/>
          <w:color w:val="000000"/>
          <w:lang w:eastAsia="en-US"/>
        </w:rPr>
        <w:t xml:space="preserve">. jūnija saistošajiem noteikumiem Nr. </w:t>
      </w:r>
      <w:r w:rsidR="00F11EDA">
        <w:rPr>
          <w:b/>
          <w:color w:val="000000"/>
          <w:lang w:eastAsia="en-US"/>
        </w:rPr>
        <w:t>18</w:t>
      </w:r>
    </w:p>
    <w:p w:rsidR="00FB7E21" w:rsidRPr="00FB7E21" w:rsidRDefault="00FB7E21" w:rsidP="00FB7E21">
      <w:pPr>
        <w:jc w:val="center"/>
        <w:rPr>
          <w:b/>
          <w:lang w:eastAsia="en-US"/>
        </w:rPr>
      </w:pPr>
      <w:r w:rsidRPr="00FB7E21">
        <w:rPr>
          <w:b/>
          <w:lang w:eastAsia="en-US"/>
        </w:rPr>
        <w:t>„</w:t>
      </w:r>
      <w:r w:rsidRPr="00FB7E21">
        <w:rPr>
          <w:b/>
          <w:bCs/>
          <w:lang w:eastAsia="en-US"/>
        </w:rPr>
        <w:t>Grozījumi Limbažu novada pašvaldības 2018. gada 24. maija saistošajos noteikumos Nr. 14 „Par</w:t>
      </w:r>
      <w:r w:rsidRPr="00FB7E21">
        <w:rPr>
          <w:b/>
          <w:bCs/>
        </w:rPr>
        <w:t xml:space="preserve"> sabiedrisko ūdenssaimniecības pakalpojumu sniegšanu un lietošanas kārtību Limbažu novada teritorijā</w:t>
      </w:r>
      <w:r w:rsidRPr="00FB7E21">
        <w:rPr>
          <w:b/>
          <w:bCs/>
          <w:lang w:eastAsia="en-US"/>
        </w:rPr>
        <w:t>”</w:t>
      </w:r>
    </w:p>
    <w:p w:rsidR="00FB7E21" w:rsidRPr="00FB7E21" w:rsidRDefault="00FB7E21" w:rsidP="00FB7E21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FB7E21" w:rsidRPr="00FB7E21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contextualSpacing/>
              <w:jc w:val="center"/>
              <w:rPr>
                <w:rFonts w:eastAsia="Calibri"/>
                <w:b/>
              </w:rPr>
            </w:pPr>
            <w:r w:rsidRPr="00FB7E21">
              <w:rPr>
                <w:rFonts w:eastAsia="Calibri"/>
                <w:b/>
              </w:rPr>
              <w:t xml:space="preserve">Paskaidrojuma </w:t>
            </w:r>
          </w:p>
          <w:p w:rsidR="00FB7E21" w:rsidRPr="00FB7E21" w:rsidRDefault="00FB7E21" w:rsidP="00FB7E21">
            <w:pPr>
              <w:contextualSpacing/>
              <w:jc w:val="center"/>
              <w:rPr>
                <w:rFonts w:eastAsia="Calibri"/>
                <w:b/>
              </w:rPr>
            </w:pPr>
            <w:r w:rsidRPr="00FB7E21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contextualSpacing/>
              <w:jc w:val="center"/>
              <w:rPr>
                <w:rFonts w:eastAsia="Calibri"/>
                <w:b/>
              </w:rPr>
            </w:pPr>
            <w:r w:rsidRPr="00FB7E21">
              <w:rPr>
                <w:rFonts w:eastAsia="Calibri"/>
                <w:b/>
              </w:rPr>
              <w:t>Norādāmā informācija</w:t>
            </w:r>
          </w:p>
        </w:tc>
      </w:tr>
      <w:tr w:rsidR="00FB7E21" w:rsidRPr="00FB7E21" w:rsidTr="005C1554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Pr="00FB7E21" w:rsidRDefault="00FB7E21" w:rsidP="00FB7E21">
            <w:pPr>
              <w:jc w:val="both"/>
              <w:rPr>
                <w:lang w:eastAsia="en-US"/>
              </w:rPr>
            </w:pPr>
            <w:r w:rsidRPr="00FB7E21">
              <w:rPr>
                <w:lang w:eastAsia="en-US"/>
              </w:rPr>
              <w:t xml:space="preserve">2020.gada 1.jūlijā stājas spēkā Administratīvās atbildības likums, kas nosaka, ka naudas soda apmēru izsaka naudas soda vienībās, kur viena vienība ir 5 (pieci) </w:t>
            </w:r>
            <w:proofErr w:type="spellStart"/>
            <w:r w:rsidRPr="00FB7E21">
              <w:rPr>
                <w:lang w:eastAsia="en-US"/>
              </w:rPr>
              <w:t>euro</w:t>
            </w:r>
            <w:proofErr w:type="spellEnd"/>
            <w:r w:rsidRPr="00FB7E21">
              <w:rPr>
                <w:lang w:eastAsia="en-US"/>
              </w:rPr>
              <w:t xml:space="preserve">, savukārt minimālais naudas sods fiziskajām un juridiskajām personām ir divas naudas soda vienības. Tiek aizstāts naudas sods </w:t>
            </w:r>
            <w:proofErr w:type="spellStart"/>
            <w:r w:rsidRPr="00FB7E21">
              <w:rPr>
                <w:lang w:eastAsia="en-US"/>
              </w:rPr>
              <w:t>euro</w:t>
            </w:r>
            <w:proofErr w:type="spellEnd"/>
            <w:r w:rsidRPr="00FB7E21">
              <w:rPr>
                <w:lang w:eastAsia="en-US"/>
              </w:rPr>
              <w:t xml:space="preserve"> ar naudas soda vienībām, kā arī tiek veikti redakcionāli precizējumi atbilstoši Administratīvās atbildības likumam.</w:t>
            </w:r>
          </w:p>
        </w:tc>
      </w:tr>
      <w:tr w:rsidR="00FB7E21" w:rsidRPr="00FB7E21" w:rsidTr="005C1554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Pr="00FB7E21" w:rsidRDefault="00FB7E21" w:rsidP="00FB7E21">
            <w:pPr>
              <w:jc w:val="both"/>
            </w:pPr>
            <w:r w:rsidRPr="00FB7E21">
              <w:t>Saistošajos noteikumos nepieciešams veikt grozījumus 6.nodaļā, precizējot terminus un ieviešot naudas soda vienības.</w:t>
            </w:r>
          </w:p>
        </w:tc>
      </w:tr>
      <w:tr w:rsidR="00FB7E21" w:rsidRPr="00FB7E21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Pr="00FB7E21" w:rsidRDefault="00FB7E21" w:rsidP="00FB7E21">
            <w:pPr>
              <w:contextualSpacing/>
              <w:jc w:val="both"/>
              <w:rPr>
                <w:rFonts w:eastAsia="Calibri"/>
                <w:bCs/>
              </w:rPr>
            </w:pPr>
            <w:r w:rsidRPr="00FB7E21">
              <w:rPr>
                <w:rFonts w:eastAsia="Calibri"/>
                <w:bCs/>
              </w:rPr>
              <w:t>Saistošo noteikumu īstenošanas rezultātā finansiālā ietekme uz pašvaldības budžetu nav.</w:t>
            </w:r>
          </w:p>
        </w:tc>
      </w:tr>
      <w:tr w:rsidR="00FB7E21" w:rsidRPr="00FB7E21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Pr="00FB7E21" w:rsidRDefault="00FB7E21" w:rsidP="00FB7E21">
            <w:pPr>
              <w:contextualSpacing/>
              <w:jc w:val="both"/>
              <w:rPr>
                <w:rFonts w:eastAsia="Calibri"/>
                <w:bCs/>
              </w:rPr>
            </w:pPr>
            <w:r w:rsidRPr="00FB7E21">
              <w:rPr>
                <w:rFonts w:eastAsia="Calibri"/>
                <w:bCs/>
              </w:rPr>
              <w:t>Saistošo noteikumu īstenošanai netiek prognozēta tieša ietekme uz uzņēmējdarbības vidi novada pašvaldības teritorijā.</w:t>
            </w:r>
          </w:p>
        </w:tc>
      </w:tr>
      <w:tr w:rsidR="00FB7E21" w:rsidRPr="00FB7E21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Pr="00FB7E21" w:rsidRDefault="00FB7E21" w:rsidP="00FB7E21">
            <w:pPr>
              <w:contextualSpacing/>
              <w:jc w:val="both"/>
              <w:rPr>
                <w:rFonts w:eastAsia="Calibri"/>
                <w:bCs/>
              </w:rPr>
            </w:pPr>
            <w:r w:rsidRPr="00FB7E21">
              <w:rPr>
                <w:rFonts w:eastAsia="Calibri"/>
                <w:bCs/>
              </w:rPr>
              <w:t>Saistošie noteikumi neietekmēs administratīvās procedūras.</w:t>
            </w:r>
          </w:p>
        </w:tc>
      </w:tr>
      <w:tr w:rsidR="00FB7E21" w:rsidRPr="00FB7E21" w:rsidTr="005C1554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21" w:rsidRPr="00FB7E21" w:rsidRDefault="00FB7E21" w:rsidP="00FB7E21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21" w:rsidRPr="00FB7E21" w:rsidRDefault="00FB7E21" w:rsidP="00FB7E21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FB7E21">
              <w:rPr>
                <w:rFonts w:eastAsia="Calibri"/>
              </w:rPr>
              <w:t>Nav attiecināms.</w:t>
            </w:r>
          </w:p>
        </w:tc>
      </w:tr>
    </w:tbl>
    <w:p w:rsidR="00FB7E21" w:rsidRPr="00FB7E21" w:rsidRDefault="00FB7E21" w:rsidP="00FB7E21">
      <w:pPr>
        <w:contextualSpacing/>
        <w:jc w:val="both"/>
        <w:rPr>
          <w:rFonts w:eastAsia="Calibri"/>
          <w:b/>
          <w:bCs/>
        </w:rPr>
      </w:pPr>
    </w:p>
    <w:p w:rsidR="00FB7E21" w:rsidRPr="00FB7E21" w:rsidRDefault="00FB7E21" w:rsidP="00FB7E21">
      <w:pPr>
        <w:contextualSpacing/>
        <w:jc w:val="both"/>
        <w:rPr>
          <w:rFonts w:eastAsia="Calibri"/>
          <w:b/>
          <w:bCs/>
        </w:rPr>
      </w:pPr>
    </w:p>
    <w:p w:rsidR="00FB7E21" w:rsidRPr="00FB7E21" w:rsidRDefault="00FB7E21" w:rsidP="00FB7E21">
      <w:pPr>
        <w:ind w:right="43"/>
        <w:contextualSpacing/>
        <w:rPr>
          <w:rFonts w:eastAsia="Calibri"/>
        </w:rPr>
      </w:pPr>
      <w:r w:rsidRPr="00FB7E21">
        <w:rPr>
          <w:rFonts w:eastAsia="Calibri"/>
        </w:rPr>
        <w:t>Limbažu novada pašvaldības</w:t>
      </w:r>
    </w:p>
    <w:p w:rsidR="00A073EF" w:rsidRDefault="00FB7E21" w:rsidP="00F11EDA">
      <w:pPr>
        <w:tabs>
          <w:tab w:val="left" w:pos="4678"/>
          <w:tab w:val="left" w:pos="8364"/>
        </w:tabs>
        <w:ind w:right="43"/>
        <w:contextualSpacing/>
        <w:rPr>
          <w:b/>
        </w:rPr>
      </w:pPr>
      <w:r w:rsidRPr="00FB7E21">
        <w:rPr>
          <w:rFonts w:eastAsia="Calibri"/>
        </w:rPr>
        <w:t>Domes priekšsēdētājs</w:t>
      </w:r>
      <w:r w:rsidRPr="00FB7E21">
        <w:rPr>
          <w:rFonts w:eastAsia="Calibri"/>
        </w:rPr>
        <w:tab/>
      </w:r>
      <w:r w:rsidRPr="00FB7E21">
        <w:rPr>
          <w:rFonts w:eastAsia="Calibri"/>
        </w:rPr>
        <w:tab/>
        <w:t>D. Zemmers</w:t>
      </w:r>
      <w:bookmarkStart w:id="0" w:name="_GoBack"/>
      <w:bookmarkEnd w:id="0"/>
    </w:p>
    <w:sectPr w:rsidR="00A073EF" w:rsidSect="00FB7E21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97" w:rsidRDefault="00082597" w:rsidP="00FB7E21">
      <w:r>
        <w:separator/>
      </w:r>
    </w:p>
  </w:endnote>
  <w:endnote w:type="continuationSeparator" w:id="0">
    <w:p w:rsidR="00082597" w:rsidRDefault="00082597" w:rsidP="00FB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97" w:rsidRDefault="00082597" w:rsidP="00FB7E21">
      <w:r>
        <w:separator/>
      </w:r>
    </w:p>
  </w:footnote>
  <w:footnote w:type="continuationSeparator" w:id="0">
    <w:p w:rsidR="00082597" w:rsidRDefault="00082597" w:rsidP="00FB7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21" w:rsidRDefault="00FB7E21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1A0F3AFB" wp14:editId="555676F7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37D7A"/>
    <w:rsid w:val="00082597"/>
    <w:rsid w:val="000930EC"/>
    <w:rsid w:val="00096A9B"/>
    <w:rsid w:val="000E6C2D"/>
    <w:rsid w:val="00104D71"/>
    <w:rsid w:val="00112144"/>
    <w:rsid w:val="001532D8"/>
    <w:rsid w:val="001A370A"/>
    <w:rsid w:val="001C3BCA"/>
    <w:rsid w:val="001D6119"/>
    <w:rsid w:val="001E453B"/>
    <w:rsid w:val="00203ADC"/>
    <w:rsid w:val="00216BD8"/>
    <w:rsid w:val="00236B93"/>
    <w:rsid w:val="00244307"/>
    <w:rsid w:val="00272F5A"/>
    <w:rsid w:val="00287062"/>
    <w:rsid w:val="002A7FF1"/>
    <w:rsid w:val="002B742E"/>
    <w:rsid w:val="002E1AEC"/>
    <w:rsid w:val="002F0A1B"/>
    <w:rsid w:val="0030286F"/>
    <w:rsid w:val="00335007"/>
    <w:rsid w:val="003409F1"/>
    <w:rsid w:val="00360949"/>
    <w:rsid w:val="003765F6"/>
    <w:rsid w:val="00381B86"/>
    <w:rsid w:val="003F355A"/>
    <w:rsid w:val="004078C3"/>
    <w:rsid w:val="00407961"/>
    <w:rsid w:val="00441955"/>
    <w:rsid w:val="00443423"/>
    <w:rsid w:val="004861CC"/>
    <w:rsid w:val="00486C72"/>
    <w:rsid w:val="004949C7"/>
    <w:rsid w:val="004C25C5"/>
    <w:rsid w:val="005D2945"/>
    <w:rsid w:val="005F12A0"/>
    <w:rsid w:val="005F1E4A"/>
    <w:rsid w:val="00623DD3"/>
    <w:rsid w:val="00661BCB"/>
    <w:rsid w:val="006A4A7A"/>
    <w:rsid w:val="006C3BC6"/>
    <w:rsid w:val="006E09C6"/>
    <w:rsid w:val="006E1F7C"/>
    <w:rsid w:val="00710C2B"/>
    <w:rsid w:val="00712C40"/>
    <w:rsid w:val="00723891"/>
    <w:rsid w:val="00736EFA"/>
    <w:rsid w:val="00760114"/>
    <w:rsid w:val="007617CF"/>
    <w:rsid w:val="00787638"/>
    <w:rsid w:val="00791FBD"/>
    <w:rsid w:val="007D1142"/>
    <w:rsid w:val="00803EF5"/>
    <w:rsid w:val="00894AE5"/>
    <w:rsid w:val="008A6D86"/>
    <w:rsid w:val="008C397F"/>
    <w:rsid w:val="008C5E0F"/>
    <w:rsid w:val="008D48D5"/>
    <w:rsid w:val="008E2F79"/>
    <w:rsid w:val="008F0AB5"/>
    <w:rsid w:val="008F3CC8"/>
    <w:rsid w:val="0092362A"/>
    <w:rsid w:val="00963518"/>
    <w:rsid w:val="009877EA"/>
    <w:rsid w:val="00997F05"/>
    <w:rsid w:val="009B16FA"/>
    <w:rsid w:val="009D7992"/>
    <w:rsid w:val="009E6819"/>
    <w:rsid w:val="009F4FCE"/>
    <w:rsid w:val="00A073EF"/>
    <w:rsid w:val="00A14894"/>
    <w:rsid w:val="00A513B2"/>
    <w:rsid w:val="00A6517C"/>
    <w:rsid w:val="00AB177A"/>
    <w:rsid w:val="00AD2C12"/>
    <w:rsid w:val="00AE1256"/>
    <w:rsid w:val="00B55642"/>
    <w:rsid w:val="00BA5EE6"/>
    <w:rsid w:val="00BA6B84"/>
    <w:rsid w:val="00BB41E4"/>
    <w:rsid w:val="00BC0579"/>
    <w:rsid w:val="00BD6DCC"/>
    <w:rsid w:val="00BE6FFA"/>
    <w:rsid w:val="00C52533"/>
    <w:rsid w:val="00C6367A"/>
    <w:rsid w:val="00C8395D"/>
    <w:rsid w:val="00CD010E"/>
    <w:rsid w:val="00CF6105"/>
    <w:rsid w:val="00CF6EAE"/>
    <w:rsid w:val="00D13155"/>
    <w:rsid w:val="00D64168"/>
    <w:rsid w:val="00D8192D"/>
    <w:rsid w:val="00D84FBA"/>
    <w:rsid w:val="00DA510A"/>
    <w:rsid w:val="00DC309C"/>
    <w:rsid w:val="00DE63AC"/>
    <w:rsid w:val="00DF3E83"/>
    <w:rsid w:val="00E15DDD"/>
    <w:rsid w:val="00EC103E"/>
    <w:rsid w:val="00EC49EF"/>
    <w:rsid w:val="00EF6A26"/>
    <w:rsid w:val="00F0031A"/>
    <w:rsid w:val="00F07061"/>
    <w:rsid w:val="00F11EDA"/>
    <w:rsid w:val="00F23DD5"/>
    <w:rsid w:val="00F42329"/>
    <w:rsid w:val="00F8170A"/>
    <w:rsid w:val="00F9495D"/>
    <w:rsid w:val="00FA7B7F"/>
    <w:rsid w:val="00FB7E21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B7E2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B7E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B7E2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B7E2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47</cp:revision>
  <cp:lastPrinted>2020-07-02T12:46:00Z</cp:lastPrinted>
  <dcterms:created xsi:type="dcterms:W3CDTF">2020-02-05T14:15:00Z</dcterms:created>
  <dcterms:modified xsi:type="dcterms:W3CDTF">2020-07-02T12:46:00Z</dcterms:modified>
</cp:coreProperties>
</file>