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545" w:rsidRPr="00B01A37" w:rsidRDefault="00BB4545" w:rsidP="00BB4545">
      <w:pPr>
        <w:jc w:val="center"/>
        <w:rPr>
          <w:szCs w:val="24"/>
        </w:rPr>
      </w:pPr>
      <w:r w:rsidRPr="00B01A37">
        <w:rPr>
          <w:szCs w:val="24"/>
        </w:rPr>
        <w:t>Limbažos</w:t>
      </w:r>
    </w:p>
    <w:p w:rsidR="00BB4545" w:rsidRDefault="00BB4545" w:rsidP="00BB4545">
      <w:pPr>
        <w:jc w:val="center"/>
        <w:rPr>
          <w:b/>
          <w:szCs w:val="24"/>
        </w:rPr>
      </w:pPr>
    </w:p>
    <w:p w:rsidR="00BB4545" w:rsidRPr="00B01A37" w:rsidRDefault="00BB4545" w:rsidP="00BB4545">
      <w:pPr>
        <w:jc w:val="center"/>
        <w:rPr>
          <w:b/>
          <w:szCs w:val="24"/>
        </w:rPr>
      </w:pPr>
      <w:r w:rsidRPr="00B01A37">
        <w:rPr>
          <w:b/>
          <w:szCs w:val="24"/>
        </w:rPr>
        <w:t>PASKAIDROJUMA RAKSTS</w:t>
      </w:r>
    </w:p>
    <w:p w:rsidR="00BB4545" w:rsidRPr="00B01A37" w:rsidRDefault="00BB4545" w:rsidP="00BB4545">
      <w:pPr>
        <w:jc w:val="center"/>
        <w:rPr>
          <w:rFonts w:eastAsia="Times New Roman"/>
          <w:b/>
          <w:szCs w:val="24"/>
          <w:lang w:eastAsia="lv-LV"/>
        </w:rPr>
      </w:pPr>
      <w:r w:rsidRPr="00B01A37">
        <w:rPr>
          <w:rFonts w:eastAsia="Times New Roman"/>
          <w:b/>
          <w:szCs w:val="24"/>
          <w:lang w:eastAsia="lv-LV"/>
        </w:rPr>
        <w:t xml:space="preserve">Limbažu novada pašvaldības 2020. gada </w:t>
      </w:r>
      <w:r>
        <w:rPr>
          <w:rFonts w:eastAsia="Times New Roman"/>
          <w:b/>
          <w:szCs w:val="24"/>
          <w:lang w:eastAsia="lv-LV"/>
        </w:rPr>
        <w:t>27</w:t>
      </w:r>
      <w:r w:rsidRPr="00B01A37">
        <w:rPr>
          <w:rFonts w:eastAsia="Times New Roman"/>
          <w:b/>
          <w:szCs w:val="24"/>
          <w:lang w:eastAsia="lv-LV"/>
        </w:rPr>
        <w:t xml:space="preserve">. februāra saistošajiem noteikumiem Nr. </w:t>
      </w:r>
      <w:r>
        <w:rPr>
          <w:rFonts w:eastAsia="Times New Roman"/>
          <w:b/>
          <w:szCs w:val="24"/>
          <w:lang w:eastAsia="lv-LV"/>
        </w:rPr>
        <w:t>3</w:t>
      </w:r>
    </w:p>
    <w:p w:rsidR="00BB4545" w:rsidRPr="00B01A37" w:rsidRDefault="00BB4545" w:rsidP="00BB4545">
      <w:pPr>
        <w:jc w:val="center"/>
        <w:rPr>
          <w:rFonts w:eastAsia="Times New Roman"/>
          <w:b/>
          <w:szCs w:val="24"/>
          <w:lang w:eastAsia="lv-LV"/>
        </w:rPr>
      </w:pPr>
      <w:r w:rsidRPr="00B01A37">
        <w:rPr>
          <w:rFonts w:eastAsia="Times New Roman"/>
          <w:b/>
          <w:szCs w:val="24"/>
          <w:lang w:eastAsia="lv-LV"/>
        </w:rPr>
        <w:t>“Par augstas detalizācijas topogrāfiskās informācijas aprites kārtību Limbažu novadā”</w:t>
      </w:r>
    </w:p>
    <w:p w:rsidR="00BB4545" w:rsidRPr="00161F53" w:rsidRDefault="00BB4545" w:rsidP="00BB4545">
      <w:pPr>
        <w:jc w:val="center"/>
        <w:rPr>
          <w:b/>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018"/>
        <w:gridCol w:w="7938"/>
      </w:tblGrid>
      <w:tr w:rsidR="00BB4545" w:rsidRPr="00161F53" w:rsidTr="00C35BC8">
        <w:trPr>
          <w:trHeight w:val="510"/>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BB4545" w:rsidRPr="00B01A37" w:rsidRDefault="00BB4545" w:rsidP="00C35BC8">
            <w:pPr>
              <w:jc w:val="center"/>
              <w:rPr>
                <w:b/>
                <w:szCs w:val="24"/>
              </w:rPr>
            </w:pPr>
            <w:r w:rsidRPr="00B01A37">
              <w:rPr>
                <w:b/>
                <w:szCs w:val="24"/>
              </w:rPr>
              <w:t>Paskaidrojuma raksta sadaļas</w:t>
            </w:r>
          </w:p>
        </w:tc>
        <w:tc>
          <w:tcPr>
            <w:tcW w:w="4000" w:type="pct"/>
            <w:tcBorders>
              <w:top w:val="outset" w:sz="6" w:space="0" w:color="000000"/>
              <w:left w:val="outset" w:sz="6" w:space="0" w:color="000000"/>
              <w:bottom w:val="outset" w:sz="6" w:space="0" w:color="000000"/>
              <w:right w:val="outset" w:sz="6" w:space="0" w:color="000000"/>
            </w:tcBorders>
            <w:hideMark/>
          </w:tcPr>
          <w:p w:rsidR="00BB4545" w:rsidRPr="00B01A37" w:rsidRDefault="00BB4545" w:rsidP="00C35BC8">
            <w:pPr>
              <w:spacing w:before="100" w:beforeAutospacing="1" w:after="100" w:afterAutospacing="1"/>
              <w:jc w:val="center"/>
              <w:rPr>
                <w:b/>
                <w:szCs w:val="24"/>
              </w:rPr>
            </w:pPr>
            <w:r w:rsidRPr="00B01A37">
              <w:rPr>
                <w:b/>
                <w:szCs w:val="24"/>
              </w:rPr>
              <w:t>Norādāmā informācija</w:t>
            </w:r>
          </w:p>
        </w:tc>
      </w:tr>
      <w:tr w:rsidR="00BB4545" w:rsidRPr="003A012E" w:rsidTr="00C35BC8">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BB4545" w:rsidRPr="003A012E" w:rsidRDefault="00BB4545" w:rsidP="00C35BC8">
            <w:pPr>
              <w:rPr>
                <w:szCs w:val="24"/>
                <w:highlight w:val="yellow"/>
              </w:rPr>
            </w:pPr>
            <w:r w:rsidRPr="001B3289">
              <w:rPr>
                <w:szCs w:val="24"/>
              </w:rPr>
              <w:t>1. Projekta nepieciešamības pamatojums</w:t>
            </w:r>
          </w:p>
        </w:tc>
        <w:tc>
          <w:tcPr>
            <w:tcW w:w="4000" w:type="pct"/>
            <w:tcBorders>
              <w:top w:val="outset" w:sz="6" w:space="0" w:color="000000"/>
              <w:left w:val="outset" w:sz="6" w:space="0" w:color="000000"/>
              <w:bottom w:val="outset" w:sz="6" w:space="0" w:color="000000"/>
              <w:right w:val="outset" w:sz="6" w:space="0" w:color="000000"/>
            </w:tcBorders>
            <w:hideMark/>
          </w:tcPr>
          <w:tbl>
            <w:tblPr>
              <w:tblW w:w="0" w:type="auto"/>
              <w:tblLook w:val="04A0" w:firstRow="1" w:lastRow="0" w:firstColumn="1" w:lastColumn="0" w:noHBand="0" w:noVBand="1"/>
            </w:tblPr>
            <w:tblGrid>
              <w:gridCol w:w="7803"/>
            </w:tblGrid>
            <w:tr w:rsidR="00BB4545" w:rsidRPr="003A012E" w:rsidTr="00C35BC8">
              <w:trPr>
                <w:trHeight w:val="425"/>
              </w:trPr>
              <w:tc>
                <w:tcPr>
                  <w:tcW w:w="0" w:type="auto"/>
                  <w:tcBorders>
                    <w:top w:val="nil"/>
                    <w:left w:val="nil"/>
                    <w:bottom w:val="nil"/>
                    <w:right w:val="nil"/>
                  </w:tcBorders>
                  <w:hideMark/>
                </w:tcPr>
                <w:p w:rsidR="00BB4545" w:rsidRDefault="00BB4545" w:rsidP="00C35BC8">
                  <w:pPr>
                    <w:ind w:firstLine="415"/>
                    <w:jc w:val="both"/>
                    <w:rPr>
                      <w:szCs w:val="24"/>
                    </w:rPr>
                  </w:pPr>
                  <w:r w:rsidRPr="000B7B42">
                    <w:rPr>
                      <w:szCs w:val="24"/>
                    </w:rPr>
                    <w:t>Saistošo noteikumu izdošana paredzēta likuma “Par pašvaldībām” 21.</w:t>
                  </w:r>
                  <w:r>
                    <w:rPr>
                      <w:szCs w:val="24"/>
                    </w:rPr>
                    <w:t xml:space="preserve"> </w:t>
                  </w:r>
                  <w:r w:rsidRPr="000B7B42">
                    <w:rPr>
                      <w:szCs w:val="24"/>
                    </w:rPr>
                    <w:t>panta pirmās daļas 16. un 27.</w:t>
                  </w:r>
                  <w:r>
                    <w:rPr>
                      <w:szCs w:val="24"/>
                    </w:rPr>
                    <w:t xml:space="preserve"> </w:t>
                  </w:r>
                  <w:r w:rsidRPr="000B7B42">
                    <w:rPr>
                      <w:szCs w:val="24"/>
                    </w:rPr>
                    <w:t>punktā, 43.</w:t>
                  </w:r>
                  <w:r>
                    <w:rPr>
                      <w:szCs w:val="24"/>
                    </w:rPr>
                    <w:t xml:space="preserve"> </w:t>
                  </w:r>
                  <w:r w:rsidRPr="000B7B42">
                    <w:rPr>
                      <w:szCs w:val="24"/>
                    </w:rPr>
                    <w:t>panta pirmās daļas 1.</w:t>
                  </w:r>
                  <w:r>
                    <w:rPr>
                      <w:szCs w:val="24"/>
                    </w:rPr>
                    <w:t xml:space="preserve"> un 13. </w:t>
                  </w:r>
                  <w:r w:rsidRPr="000B7B42">
                    <w:rPr>
                      <w:szCs w:val="24"/>
                    </w:rPr>
                    <w:t>punktā, Ģeotelpiskās informācijas likuma 13.</w:t>
                  </w:r>
                  <w:r>
                    <w:rPr>
                      <w:szCs w:val="24"/>
                    </w:rPr>
                    <w:t xml:space="preserve"> </w:t>
                  </w:r>
                  <w:r w:rsidRPr="000B7B42">
                    <w:rPr>
                      <w:szCs w:val="24"/>
                    </w:rPr>
                    <w:t>panta sestajā daļā, kas nosaka, ka pašvaldības dome nosaka augstas detalizācijas topogrāfiskās informācijas iesniegšanas un pieņemšanas kārtību</w:t>
                  </w:r>
                  <w:r>
                    <w:rPr>
                      <w:szCs w:val="24"/>
                    </w:rPr>
                    <w:t>.</w:t>
                  </w:r>
                </w:p>
                <w:p w:rsidR="00BB4545" w:rsidRDefault="00BB4545" w:rsidP="00C35BC8">
                  <w:pPr>
                    <w:ind w:firstLine="415"/>
                    <w:jc w:val="both"/>
                    <w:rPr>
                      <w:szCs w:val="24"/>
                    </w:rPr>
                  </w:pPr>
                  <w:r w:rsidRPr="000B7B42">
                    <w:rPr>
                      <w:szCs w:val="24"/>
                    </w:rPr>
                    <w:t>Ģeo</w:t>
                  </w:r>
                  <w:r>
                    <w:rPr>
                      <w:szCs w:val="24"/>
                    </w:rPr>
                    <w:t>telpiskās informācijas likuma 26</w:t>
                  </w:r>
                  <w:r w:rsidRPr="000B7B42">
                    <w:rPr>
                      <w:szCs w:val="24"/>
                    </w:rPr>
                    <w:t>.</w:t>
                  </w:r>
                  <w:r>
                    <w:rPr>
                      <w:szCs w:val="24"/>
                    </w:rPr>
                    <w:t xml:space="preserve"> </w:t>
                  </w:r>
                  <w:r w:rsidRPr="000B7B42">
                    <w:rPr>
                      <w:szCs w:val="24"/>
                    </w:rPr>
                    <w:t xml:space="preserve">panta </w:t>
                  </w:r>
                  <w:r>
                    <w:rPr>
                      <w:szCs w:val="24"/>
                    </w:rPr>
                    <w:t>trešajā</w:t>
                  </w:r>
                  <w:r w:rsidRPr="000B7B42">
                    <w:rPr>
                      <w:szCs w:val="24"/>
                    </w:rPr>
                    <w:t xml:space="preserve"> daļā</w:t>
                  </w:r>
                  <w:r>
                    <w:rPr>
                      <w:szCs w:val="24"/>
                    </w:rPr>
                    <w:t xml:space="preserve"> noteikts, ka</w:t>
                  </w:r>
                  <w:r>
                    <w:t xml:space="preserve"> </w:t>
                  </w:r>
                  <w:r>
                    <w:rPr>
                      <w:szCs w:val="24"/>
                    </w:rPr>
                    <w:t>m</w:t>
                  </w:r>
                  <w:r w:rsidRPr="00891B9F">
                    <w:rPr>
                      <w:szCs w:val="24"/>
                    </w:rPr>
                    <w:t xml:space="preserve">aksa par augstas detalizācijas topogrāfiskās informācijas pārbaudi, reģistrāciju datubāzē, sagatavošanu un izsniegšanu no vietējās pašvaldības datubāzes </w:t>
                  </w:r>
                  <w:r>
                    <w:rPr>
                      <w:szCs w:val="24"/>
                    </w:rPr>
                    <w:t>veicama</w:t>
                  </w:r>
                  <w:r w:rsidRPr="00891B9F">
                    <w:rPr>
                      <w:szCs w:val="24"/>
                    </w:rPr>
                    <w:t xml:space="preserve"> vietējās pašvaldības saistošajos noteikumos paredzētajā kārtībā</w:t>
                  </w:r>
                  <w:r>
                    <w:rPr>
                      <w:szCs w:val="24"/>
                    </w:rPr>
                    <w:t>.</w:t>
                  </w:r>
                </w:p>
                <w:p w:rsidR="00BB4545" w:rsidRDefault="00BB4545" w:rsidP="00C35BC8">
                  <w:pPr>
                    <w:ind w:firstLine="415"/>
                    <w:jc w:val="both"/>
                  </w:pPr>
                  <w:r>
                    <w:t>Saskaņā ar Ministru kabineta 2012. gada 24. aprīļa noteikumu Nr.281 ”Augstas detalizācijas un topogrāfiskās informācijas un tās centrālās datubāzes noteikumi” 69. punktu pašvaldība saistošajos noteikumos nosaka tos inženierkomunikāciju turētājus, ar kuriem obligāti nepieciešams saskaņot topogrāfiskos plānus, kas izstrādāti attiecīgās pašvaldības teritorijā, un saskaņā ar minēto noteikumu 79. punktu nosaka topogrāfiskās informācijas pārbaudes un reģistrācijas termiņus.</w:t>
                  </w:r>
                </w:p>
                <w:p w:rsidR="00BB4545" w:rsidRPr="00AC6B3C" w:rsidRDefault="00BB4545" w:rsidP="00C35BC8">
                  <w:pPr>
                    <w:ind w:firstLine="415"/>
                    <w:jc w:val="both"/>
                  </w:pPr>
                  <w:r w:rsidRPr="00497E22">
                    <w:t xml:space="preserve">Līdz </w:t>
                  </w:r>
                  <w:r>
                    <w:t xml:space="preserve">minēto </w:t>
                  </w:r>
                  <w:r w:rsidRPr="00497E22">
                    <w:t>saistošo noteikumu apstiprināšanai augstas detalizācijas topogrāfiskās informācijas aprites kārtību Limbažu novadā nodrošināja SIA “TOPO</w:t>
                  </w:r>
                  <w:r>
                    <w:t xml:space="preserve"> </w:t>
                  </w:r>
                  <w:r w:rsidRPr="00497E22">
                    <w:t>DATI”</w:t>
                  </w:r>
                  <w:r>
                    <w:t xml:space="preserve">, </w:t>
                  </w:r>
                  <w:r>
                    <w:rPr>
                      <w:szCs w:val="24"/>
                    </w:rPr>
                    <w:t xml:space="preserve">vienotais </w:t>
                  </w:r>
                  <w:r w:rsidRPr="00830303">
                    <w:rPr>
                      <w:szCs w:val="24"/>
                    </w:rPr>
                    <w:t xml:space="preserve">reģistrācijas </w:t>
                  </w:r>
                  <w:r>
                    <w:t xml:space="preserve">   </w:t>
                  </w:r>
                  <w:r w:rsidRPr="00830303">
                    <w:rPr>
                      <w:szCs w:val="24"/>
                    </w:rPr>
                    <w:t>Nr.</w:t>
                  </w:r>
                  <w:r>
                    <w:rPr>
                      <w:szCs w:val="24"/>
                    </w:rPr>
                    <w:t xml:space="preserve"> 4</w:t>
                  </w:r>
                  <w:r w:rsidRPr="00830303">
                    <w:rPr>
                      <w:szCs w:val="24"/>
                    </w:rPr>
                    <w:t>0003621917</w:t>
                  </w:r>
                  <w:r>
                    <w:t>.</w:t>
                  </w:r>
                </w:p>
              </w:tc>
            </w:tr>
          </w:tbl>
          <w:p w:rsidR="00BB4545" w:rsidRPr="003A012E" w:rsidRDefault="00BB4545" w:rsidP="00C35BC8">
            <w:pPr>
              <w:jc w:val="both"/>
              <w:rPr>
                <w:szCs w:val="24"/>
                <w:highlight w:val="yellow"/>
              </w:rPr>
            </w:pPr>
          </w:p>
        </w:tc>
      </w:tr>
      <w:tr w:rsidR="00BB4545" w:rsidRPr="003A012E" w:rsidTr="00C35BC8">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BB4545" w:rsidRPr="003A012E" w:rsidRDefault="00BB4545" w:rsidP="00C35BC8">
            <w:pPr>
              <w:rPr>
                <w:szCs w:val="24"/>
                <w:highlight w:val="yellow"/>
              </w:rPr>
            </w:pPr>
            <w:r w:rsidRPr="001B3289">
              <w:rPr>
                <w:szCs w:val="24"/>
              </w:rPr>
              <w:t>2. Īss projekta satura izklāsts</w:t>
            </w:r>
          </w:p>
        </w:tc>
        <w:tc>
          <w:tcPr>
            <w:tcW w:w="4000" w:type="pct"/>
            <w:tcBorders>
              <w:top w:val="outset" w:sz="6" w:space="0" w:color="000000"/>
              <w:left w:val="outset" w:sz="6" w:space="0" w:color="000000"/>
              <w:bottom w:val="outset" w:sz="6" w:space="0" w:color="000000"/>
              <w:right w:val="outset" w:sz="6" w:space="0" w:color="000000"/>
            </w:tcBorders>
            <w:hideMark/>
          </w:tcPr>
          <w:p w:rsidR="00BB4545" w:rsidRDefault="00BB4545" w:rsidP="00C35BC8">
            <w:pPr>
              <w:ind w:firstLine="415"/>
              <w:jc w:val="both"/>
              <w:rPr>
                <w:szCs w:val="24"/>
              </w:rPr>
            </w:pPr>
            <w:r w:rsidRPr="000B7B42">
              <w:rPr>
                <w:szCs w:val="24"/>
              </w:rPr>
              <w:t xml:space="preserve">Saistošie noteikumi nosaka kārtību, kādā Limbažu novada administratīvajā teritorijā notiek augstas detalizācijas topogrāfiskās </w:t>
            </w:r>
            <w:r w:rsidRPr="00A01BD3">
              <w:rPr>
                <w:szCs w:val="24"/>
              </w:rPr>
              <w:t xml:space="preserve">informācijas </w:t>
            </w:r>
            <w:r>
              <w:rPr>
                <w:szCs w:val="24"/>
              </w:rPr>
              <w:t>pārbaude, reģistrācija datubāzē, sagatavošana un izsniegšana,</w:t>
            </w:r>
            <w:r w:rsidRPr="000B7B42">
              <w:rPr>
                <w:szCs w:val="24"/>
              </w:rPr>
              <w:t xml:space="preserve"> kā arī attiecas uz detālplānojumu un zemes ierīcības projektu grafiskajām daļām.</w:t>
            </w:r>
            <w:r>
              <w:rPr>
                <w:szCs w:val="24"/>
              </w:rPr>
              <w:t xml:space="preserve"> </w:t>
            </w:r>
          </w:p>
          <w:p w:rsidR="00BB4545" w:rsidRDefault="00BB4545" w:rsidP="00C35BC8">
            <w:pPr>
              <w:ind w:firstLine="415"/>
              <w:jc w:val="both"/>
              <w:rPr>
                <w:szCs w:val="24"/>
              </w:rPr>
            </w:pPr>
            <w:r>
              <w:rPr>
                <w:szCs w:val="24"/>
              </w:rPr>
              <w:t>Saistošie noteikumi nosaka maksas apmērus pret trešajām personām par datu, kuri satur augstas detalizācijas topogrāfisko informāciju, pārbaudi, reģistrāciju Limbažu novada pašvaldības datubāzē, sagatavošanu un izsniegšanu no pašvaldības datubāzes, kuru izveido un uztur pašvaldības izvēlētā juridiskā persona.</w:t>
            </w:r>
          </w:p>
          <w:p w:rsidR="00BB4545" w:rsidRPr="000B7B42" w:rsidRDefault="00BB4545" w:rsidP="00C35BC8">
            <w:pPr>
              <w:ind w:firstLine="415"/>
              <w:jc w:val="both"/>
              <w:rPr>
                <w:szCs w:val="24"/>
              </w:rPr>
            </w:pPr>
            <w:r>
              <w:rPr>
                <w:szCs w:val="24"/>
              </w:rPr>
              <w:lastRenderedPageBreak/>
              <w:t>Saistošie noteikumi nosaka inženierkomunikāciju turētājus, ar kuriem jāsaskaņo topogrāfiskie plāni.</w:t>
            </w:r>
          </w:p>
        </w:tc>
      </w:tr>
      <w:tr w:rsidR="00BB4545" w:rsidRPr="003A012E" w:rsidTr="00C35BC8">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BB4545" w:rsidRPr="00376A5D" w:rsidRDefault="00BB4545" w:rsidP="00C35BC8">
            <w:pPr>
              <w:rPr>
                <w:szCs w:val="24"/>
              </w:rPr>
            </w:pPr>
            <w:r w:rsidRPr="00376A5D">
              <w:rPr>
                <w:szCs w:val="24"/>
              </w:rPr>
              <w:lastRenderedPageBreak/>
              <w:t>3. Informācija par plānoto projekta ietekmi uz pašvaldības budžetu</w:t>
            </w:r>
          </w:p>
        </w:tc>
        <w:tc>
          <w:tcPr>
            <w:tcW w:w="4000" w:type="pct"/>
            <w:tcBorders>
              <w:top w:val="outset" w:sz="6" w:space="0" w:color="000000"/>
              <w:left w:val="outset" w:sz="6" w:space="0" w:color="000000"/>
              <w:bottom w:val="outset" w:sz="6" w:space="0" w:color="000000"/>
              <w:right w:val="outset" w:sz="6" w:space="0" w:color="000000"/>
            </w:tcBorders>
            <w:hideMark/>
          </w:tcPr>
          <w:p w:rsidR="00BB4545" w:rsidRDefault="00BB4545" w:rsidP="00C35BC8">
            <w:pPr>
              <w:jc w:val="both"/>
              <w:rPr>
                <w:szCs w:val="24"/>
              </w:rPr>
            </w:pPr>
            <w:r w:rsidRPr="00376A5D">
              <w:rPr>
                <w:szCs w:val="24"/>
              </w:rPr>
              <w:t xml:space="preserve">Nav </w:t>
            </w:r>
            <w:r>
              <w:rPr>
                <w:szCs w:val="24"/>
              </w:rPr>
              <w:t>attiecināms</w:t>
            </w:r>
            <w:r w:rsidRPr="00376A5D">
              <w:rPr>
                <w:szCs w:val="24"/>
              </w:rPr>
              <w:t>.</w:t>
            </w:r>
          </w:p>
          <w:p w:rsidR="00BB4545" w:rsidRPr="00376A5D" w:rsidRDefault="00BB4545" w:rsidP="00C35BC8">
            <w:pPr>
              <w:jc w:val="both"/>
              <w:rPr>
                <w:szCs w:val="24"/>
              </w:rPr>
            </w:pPr>
            <w:r>
              <w:rPr>
                <w:szCs w:val="24"/>
              </w:rPr>
              <w:t>Saistošo noteikumu izpildei nav nepieciešams veidot jaunas institūcijas vai darba vietas.</w:t>
            </w:r>
          </w:p>
        </w:tc>
      </w:tr>
      <w:tr w:rsidR="00BB4545" w:rsidRPr="003A012E" w:rsidTr="00C35BC8">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BB4545" w:rsidRPr="003A012E" w:rsidRDefault="00BB4545" w:rsidP="00C35BC8">
            <w:pPr>
              <w:rPr>
                <w:szCs w:val="24"/>
                <w:highlight w:val="yellow"/>
              </w:rPr>
            </w:pPr>
            <w:r w:rsidRPr="00180EB6">
              <w:rPr>
                <w:szCs w:val="24"/>
              </w:rPr>
              <w:t>4. Informācija par plānoto projekta ietekmi uz uzņēmējdarbības vidi pašvaldības teritorijā</w:t>
            </w:r>
          </w:p>
        </w:tc>
        <w:tc>
          <w:tcPr>
            <w:tcW w:w="4000" w:type="pct"/>
            <w:tcBorders>
              <w:top w:val="outset" w:sz="6" w:space="0" w:color="000000"/>
              <w:left w:val="outset" w:sz="6" w:space="0" w:color="000000"/>
              <w:bottom w:val="outset" w:sz="6" w:space="0" w:color="000000"/>
              <w:right w:val="outset" w:sz="6" w:space="0" w:color="000000"/>
            </w:tcBorders>
            <w:hideMark/>
          </w:tcPr>
          <w:p w:rsidR="00BB4545" w:rsidRDefault="00BB4545" w:rsidP="00C35BC8">
            <w:pPr>
              <w:ind w:firstLine="274"/>
              <w:jc w:val="both"/>
            </w:pPr>
            <w:r w:rsidRPr="00830303">
              <w:rPr>
                <w:szCs w:val="24"/>
              </w:rPr>
              <w:t>Galv</w:t>
            </w:r>
            <w:r>
              <w:rPr>
                <w:szCs w:val="24"/>
              </w:rPr>
              <w:t>e</w:t>
            </w:r>
            <w:r w:rsidRPr="00830303">
              <w:rPr>
                <w:szCs w:val="24"/>
              </w:rPr>
              <w:t xml:space="preserve">nās </w:t>
            </w:r>
            <w:proofErr w:type="spellStart"/>
            <w:r w:rsidRPr="00830303">
              <w:rPr>
                <w:szCs w:val="24"/>
              </w:rPr>
              <w:t>mērķgrupas</w:t>
            </w:r>
            <w:proofErr w:type="spellEnd"/>
            <w:r w:rsidRPr="00830303">
              <w:rPr>
                <w:szCs w:val="24"/>
              </w:rPr>
              <w:t xml:space="preserve">, uz kurām attiecināms saistošo noteikumu tiesiskais regulējums, ir visas fiziskās un juridiskās personas, kas Limbažu novada administratīvajā teritorijā veic topogrāfiskos un ģeodēziskos uzmērīšanas darbus, izstrādā detālplānojumus, zemes ierīcības projektus un veic </w:t>
            </w:r>
            <w:r w:rsidRPr="00830303">
              <w:t>inženierkomunikāciju, būvju un ceļu inženierbūvju projektēšanu un būvniecību.</w:t>
            </w:r>
          </w:p>
          <w:p w:rsidR="00BB4545" w:rsidRPr="003A012E" w:rsidRDefault="00BB4545" w:rsidP="00C35BC8">
            <w:pPr>
              <w:ind w:firstLine="274"/>
              <w:jc w:val="both"/>
              <w:rPr>
                <w:szCs w:val="24"/>
                <w:highlight w:val="yellow"/>
              </w:rPr>
            </w:pPr>
            <w:r>
              <w:t xml:space="preserve">Saistošo noteikumu tiesiskais regulējums būtiski galvenās </w:t>
            </w:r>
            <w:proofErr w:type="spellStart"/>
            <w:r>
              <w:t>mērķgrupas</w:t>
            </w:r>
            <w:proofErr w:type="spellEnd"/>
            <w:r>
              <w:t xml:space="preserve"> neietekmēs, </w:t>
            </w:r>
            <w:r w:rsidRPr="00380DB5">
              <w:t>jo līdz šo saistošo noteikumu pieņemšanai noteikumos minētos jautājumus risināja SIA “TOPO</w:t>
            </w:r>
            <w:r>
              <w:t xml:space="preserve"> </w:t>
            </w:r>
            <w:r w:rsidRPr="00380DB5">
              <w:t>DATI”</w:t>
            </w:r>
            <w:r>
              <w:t>.</w:t>
            </w:r>
          </w:p>
        </w:tc>
      </w:tr>
      <w:tr w:rsidR="00BB4545" w:rsidRPr="003A012E" w:rsidTr="00C35BC8">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BB4545" w:rsidRPr="003A012E" w:rsidRDefault="00BB4545" w:rsidP="00C35BC8">
            <w:pPr>
              <w:rPr>
                <w:szCs w:val="24"/>
                <w:highlight w:val="yellow"/>
              </w:rPr>
            </w:pPr>
            <w:r w:rsidRPr="00830303">
              <w:rPr>
                <w:szCs w:val="24"/>
              </w:rPr>
              <w:t>5. Informācija par administratīvajām procedūrām</w:t>
            </w:r>
          </w:p>
        </w:tc>
        <w:tc>
          <w:tcPr>
            <w:tcW w:w="4000" w:type="pct"/>
            <w:tcBorders>
              <w:top w:val="outset" w:sz="6" w:space="0" w:color="000000"/>
              <w:left w:val="outset" w:sz="6" w:space="0" w:color="000000"/>
              <w:bottom w:val="outset" w:sz="6" w:space="0" w:color="000000"/>
              <w:right w:val="outset" w:sz="6" w:space="0" w:color="000000"/>
            </w:tcBorders>
            <w:hideMark/>
          </w:tcPr>
          <w:p w:rsidR="00BB4545" w:rsidRDefault="00BB4545" w:rsidP="00C35BC8">
            <w:pPr>
              <w:ind w:firstLine="274"/>
              <w:jc w:val="both"/>
              <w:rPr>
                <w:szCs w:val="24"/>
              </w:rPr>
            </w:pPr>
            <w:r w:rsidRPr="00830303">
              <w:rPr>
                <w:szCs w:val="24"/>
              </w:rPr>
              <w:t>Institūcija, kurā privātpersona var griezties par saistošajos noteikumos minēto pakalpojumu saņemšanu</w:t>
            </w:r>
            <w:r>
              <w:rPr>
                <w:szCs w:val="24"/>
              </w:rPr>
              <w:t>,</w:t>
            </w:r>
            <w:r w:rsidRPr="00830303">
              <w:rPr>
                <w:szCs w:val="24"/>
              </w:rPr>
              <w:t xml:space="preserve"> ir SIA “TOPO</w:t>
            </w:r>
            <w:r>
              <w:rPr>
                <w:szCs w:val="24"/>
              </w:rPr>
              <w:t xml:space="preserve"> </w:t>
            </w:r>
            <w:r w:rsidRPr="00830303">
              <w:rPr>
                <w:szCs w:val="24"/>
              </w:rPr>
              <w:t xml:space="preserve">DATI”, </w:t>
            </w:r>
            <w:r>
              <w:rPr>
                <w:szCs w:val="24"/>
              </w:rPr>
              <w:t xml:space="preserve">vienotais </w:t>
            </w:r>
            <w:r w:rsidRPr="00830303">
              <w:rPr>
                <w:szCs w:val="24"/>
              </w:rPr>
              <w:t>reģistrācijas Nr.</w:t>
            </w:r>
            <w:r>
              <w:rPr>
                <w:szCs w:val="24"/>
              </w:rPr>
              <w:t xml:space="preserve"> 4</w:t>
            </w:r>
            <w:r w:rsidRPr="00830303">
              <w:rPr>
                <w:szCs w:val="24"/>
              </w:rPr>
              <w:t>0003621917, juridiskā adrese</w:t>
            </w:r>
            <w:r>
              <w:rPr>
                <w:szCs w:val="24"/>
              </w:rPr>
              <w:t>:</w:t>
            </w:r>
            <w:r w:rsidRPr="00830303">
              <w:rPr>
                <w:szCs w:val="24"/>
              </w:rPr>
              <w:t xml:space="preserve"> Ģertrūdes</w:t>
            </w:r>
            <w:r>
              <w:rPr>
                <w:szCs w:val="24"/>
              </w:rPr>
              <w:t xml:space="preserve"> iela</w:t>
            </w:r>
            <w:r w:rsidRPr="00830303">
              <w:rPr>
                <w:szCs w:val="24"/>
              </w:rPr>
              <w:t xml:space="preserve"> 47</w:t>
            </w:r>
            <w:r>
              <w:rPr>
                <w:szCs w:val="24"/>
              </w:rPr>
              <w:t xml:space="preserve"> – </w:t>
            </w:r>
            <w:r w:rsidRPr="00830303">
              <w:rPr>
                <w:szCs w:val="24"/>
              </w:rPr>
              <w:t>3, Rīga, LV-1011</w:t>
            </w:r>
            <w:r>
              <w:rPr>
                <w:szCs w:val="24"/>
              </w:rPr>
              <w:t>.</w:t>
            </w:r>
          </w:p>
          <w:p w:rsidR="00BB4545" w:rsidRPr="00FF77D2" w:rsidRDefault="00BB4545" w:rsidP="00C35BC8">
            <w:pPr>
              <w:ind w:firstLine="274"/>
              <w:jc w:val="both"/>
              <w:rPr>
                <w:szCs w:val="24"/>
              </w:rPr>
            </w:pPr>
            <w:r>
              <w:rPr>
                <w:szCs w:val="24"/>
              </w:rPr>
              <w:t>Kontroli par saistošo noteikumu izpildi veic Limbažu novada pašvaldība.</w:t>
            </w:r>
          </w:p>
        </w:tc>
      </w:tr>
      <w:tr w:rsidR="00BB4545" w:rsidRPr="00376A5D" w:rsidTr="00C35BC8">
        <w:trPr>
          <w:trHeight w:val="810"/>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BB4545" w:rsidRPr="00376A5D" w:rsidRDefault="00BB4545" w:rsidP="00C35BC8">
            <w:pPr>
              <w:rPr>
                <w:szCs w:val="24"/>
              </w:rPr>
            </w:pPr>
            <w:r w:rsidRPr="00376A5D">
              <w:rPr>
                <w:szCs w:val="24"/>
              </w:rPr>
              <w:t>6. Informācija par konsultācijām ar privātpersonām</w:t>
            </w:r>
          </w:p>
        </w:tc>
        <w:tc>
          <w:tcPr>
            <w:tcW w:w="4000" w:type="pct"/>
            <w:tcBorders>
              <w:top w:val="outset" w:sz="6" w:space="0" w:color="000000"/>
              <w:left w:val="outset" w:sz="6" w:space="0" w:color="000000"/>
              <w:bottom w:val="outset" w:sz="6" w:space="0" w:color="000000"/>
              <w:right w:val="outset" w:sz="6" w:space="0" w:color="000000"/>
            </w:tcBorders>
            <w:hideMark/>
          </w:tcPr>
          <w:p w:rsidR="00BB4545" w:rsidRPr="00376A5D" w:rsidRDefault="00BB4545" w:rsidP="00C35BC8">
            <w:pPr>
              <w:jc w:val="both"/>
              <w:rPr>
                <w:szCs w:val="24"/>
              </w:rPr>
            </w:pPr>
            <w:r w:rsidRPr="00376A5D">
              <w:rPr>
                <w:szCs w:val="24"/>
              </w:rPr>
              <w:t>Nav attiecināms</w:t>
            </w:r>
            <w:r>
              <w:rPr>
                <w:szCs w:val="24"/>
              </w:rPr>
              <w:t>.</w:t>
            </w:r>
          </w:p>
        </w:tc>
      </w:tr>
    </w:tbl>
    <w:p w:rsidR="00BB4545" w:rsidRDefault="00BB4545" w:rsidP="00BB4545">
      <w:pPr>
        <w:ind w:firstLine="180"/>
        <w:jc w:val="center"/>
        <w:rPr>
          <w:b/>
          <w:bCs/>
          <w:caps/>
          <w:szCs w:val="24"/>
        </w:rPr>
      </w:pPr>
    </w:p>
    <w:p w:rsidR="00BB4545" w:rsidRPr="00376A5D" w:rsidRDefault="00BB4545" w:rsidP="00BB4545">
      <w:pPr>
        <w:ind w:firstLine="180"/>
        <w:jc w:val="center"/>
        <w:rPr>
          <w:b/>
          <w:bCs/>
          <w:caps/>
          <w:szCs w:val="24"/>
        </w:rPr>
      </w:pPr>
    </w:p>
    <w:p w:rsidR="00BB4545" w:rsidRPr="00B01A37" w:rsidRDefault="00BB4545" w:rsidP="00BB4545">
      <w:pPr>
        <w:jc w:val="both"/>
        <w:rPr>
          <w:szCs w:val="24"/>
        </w:rPr>
      </w:pPr>
      <w:r w:rsidRPr="00B01A37">
        <w:rPr>
          <w:szCs w:val="24"/>
        </w:rPr>
        <w:t>Limbažu novada pašvaldības</w:t>
      </w:r>
    </w:p>
    <w:p w:rsidR="00BB4545" w:rsidRPr="00367FB2" w:rsidRDefault="00BB4545" w:rsidP="00BB4545">
      <w:pPr>
        <w:jc w:val="both"/>
      </w:pPr>
      <w:r w:rsidRPr="00B01A37">
        <w:rPr>
          <w:szCs w:val="24"/>
        </w:rPr>
        <w:t>Domes priekšsēdētājs</w:t>
      </w:r>
      <w:r w:rsidRPr="00B01A37">
        <w:rPr>
          <w:szCs w:val="24"/>
        </w:rPr>
        <w:tab/>
      </w:r>
      <w:r w:rsidRPr="00B01A37">
        <w:rPr>
          <w:szCs w:val="24"/>
        </w:rPr>
        <w:tab/>
      </w:r>
      <w:r w:rsidRPr="00B01A37">
        <w:rPr>
          <w:szCs w:val="24"/>
        </w:rPr>
        <w:tab/>
      </w:r>
      <w:r w:rsidRPr="00B01A37">
        <w:rPr>
          <w:szCs w:val="24"/>
        </w:rPr>
        <w:tab/>
      </w:r>
      <w:r w:rsidRPr="00B01A37">
        <w:rPr>
          <w:szCs w:val="24"/>
        </w:rPr>
        <w:tab/>
      </w:r>
      <w:r w:rsidRPr="00B01A37">
        <w:rPr>
          <w:szCs w:val="24"/>
        </w:rPr>
        <w:tab/>
      </w:r>
      <w:r w:rsidRPr="00B01A37">
        <w:rPr>
          <w:szCs w:val="24"/>
        </w:rPr>
        <w:tab/>
      </w:r>
      <w:r w:rsidRPr="00B01A37">
        <w:rPr>
          <w:szCs w:val="24"/>
        </w:rPr>
        <w:tab/>
      </w:r>
      <w:r w:rsidRPr="00B01A37">
        <w:rPr>
          <w:szCs w:val="24"/>
        </w:rPr>
        <w:tab/>
        <w:t>D. Zemmers</w:t>
      </w: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p>
    <w:p w:rsidR="00BB4545" w:rsidRDefault="00BB4545" w:rsidP="00BB4545">
      <w:pPr>
        <w:jc w:val="center"/>
        <w:rPr>
          <w:b/>
          <w:szCs w:val="24"/>
        </w:rPr>
      </w:pPr>
      <w:r>
        <w:rPr>
          <w:noProof/>
          <w:lang w:eastAsia="lv-LV"/>
        </w:rPr>
        <w:lastRenderedPageBreak/>
        <w:drawing>
          <wp:anchor distT="0" distB="0" distL="114300" distR="114300" simplePos="0" relativeHeight="251659264" behindDoc="1" locked="0" layoutInCell="1" allowOverlap="0" wp14:anchorId="79165D38" wp14:editId="6A032C92">
            <wp:simplePos x="0" y="0"/>
            <wp:positionH relativeFrom="page">
              <wp:align>left</wp:align>
            </wp:positionH>
            <wp:positionV relativeFrom="paragraph">
              <wp:posOffset>0</wp:posOffset>
            </wp:positionV>
            <wp:extent cx="7853872" cy="2422525"/>
            <wp:effectExtent l="0" t="0" r="0" b="0"/>
            <wp:wrapTight wrapText="bothSides">
              <wp:wrapPolygon edited="0">
                <wp:start x="0" y="0"/>
                <wp:lineTo x="0" y="21402"/>
                <wp:lineTo x="21534" y="21402"/>
                <wp:lineTo x="21534" y="0"/>
                <wp:lineTo x="0" y="0"/>
              </wp:wrapPolygon>
            </wp:wrapTight>
            <wp:docPr id="2" name="Attēls 2"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C:\Documents and Settings\amanda.goba\Local Settings\Temporary Internet Files\Content.Word\New Picture (4).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53872" cy="242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4545" w:rsidRPr="00FE5A59" w:rsidRDefault="00BB4545" w:rsidP="00BB4545">
      <w:pPr>
        <w:jc w:val="center"/>
        <w:rPr>
          <w:b/>
          <w:szCs w:val="24"/>
        </w:rPr>
      </w:pPr>
      <w:r w:rsidRPr="00FE5A59">
        <w:rPr>
          <w:b/>
          <w:szCs w:val="24"/>
        </w:rPr>
        <w:t>SAISTOŠIE NOTEIKUMI</w:t>
      </w:r>
    </w:p>
    <w:p w:rsidR="00BB4545" w:rsidRPr="00E10A9A" w:rsidRDefault="00BB4545" w:rsidP="00BB4545">
      <w:pPr>
        <w:jc w:val="center"/>
        <w:rPr>
          <w:szCs w:val="24"/>
        </w:rPr>
      </w:pPr>
      <w:r w:rsidRPr="00E10A9A">
        <w:rPr>
          <w:szCs w:val="24"/>
        </w:rPr>
        <w:t>Limbažos</w:t>
      </w:r>
    </w:p>
    <w:p w:rsidR="00BB4545" w:rsidRDefault="00BB4545" w:rsidP="00BB4545">
      <w:pPr>
        <w:tabs>
          <w:tab w:val="left" w:pos="7152"/>
        </w:tabs>
        <w:rPr>
          <w:szCs w:val="24"/>
        </w:rPr>
      </w:pPr>
    </w:p>
    <w:p w:rsidR="00BB4545" w:rsidRDefault="00BB4545" w:rsidP="00BB4545">
      <w:pPr>
        <w:tabs>
          <w:tab w:val="left" w:pos="7152"/>
        </w:tabs>
        <w:rPr>
          <w:szCs w:val="24"/>
        </w:rPr>
      </w:pPr>
      <w:r>
        <w:rPr>
          <w:szCs w:val="24"/>
        </w:rPr>
        <w:t>2020. gada 27. februārī</w:t>
      </w:r>
      <w:r>
        <w:rPr>
          <w:szCs w:val="24"/>
        </w:rPr>
        <w:tab/>
      </w:r>
      <w:r>
        <w:rPr>
          <w:szCs w:val="24"/>
        </w:rPr>
        <w:tab/>
      </w:r>
      <w:r>
        <w:rPr>
          <w:szCs w:val="24"/>
        </w:rPr>
        <w:tab/>
      </w:r>
      <w:r>
        <w:rPr>
          <w:szCs w:val="24"/>
        </w:rPr>
        <w:tab/>
        <w:t xml:space="preserve">            Nr. 3</w:t>
      </w:r>
    </w:p>
    <w:p w:rsidR="00BB4545" w:rsidRPr="00DF554D" w:rsidRDefault="00BB4545" w:rsidP="00BB4545">
      <w:pPr>
        <w:tabs>
          <w:tab w:val="left" w:pos="7152"/>
        </w:tabs>
        <w:rPr>
          <w:szCs w:val="24"/>
        </w:rPr>
      </w:pPr>
    </w:p>
    <w:p w:rsidR="00BB4545" w:rsidRPr="001E4854" w:rsidRDefault="00BB4545" w:rsidP="00BB4545">
      <w:pPr>
        <w:jc w:val="right"/>
        <w:rPr>
          <w:b/>
          <w:szCs w:val="24"/>
        </w:rPr>
      </w:pPr>
      <w:r w:rsidRPr="001E4854">
        <w:rPr>
          <w:b/>
          <w:szCs w:val="24"/>
        </w:rPr>
        <w:t>APSTIPRINĀTI</w:t>
      </w:r>
    </w:p>
    <w:p w:rsidR="00BB4545" w:rsidRPr="001E4854" w:rsidRDefault="00BB4545" w:rsidP="00BB4545">
      <w:pPr>
        <w:jc w:val="right"/>
        <w:rPr>
          <w:szCs w:val="24"/>
        </w:rPr>
      </w:pPr>
      <w:r w:rsidRPr="001E4854">
        <w:rPr>
          <w:szCs w:val="24"/>
        </w:rPr>
        <w:t>ar Limbažu novada domes</w:t>
      </w:r>
    </w:p>
    <w:p w:rsidR="00BB4545" w:rsidRPr="001E4854" w:rsidRDefault="00BB4545" w:rsidP="00BB4545">
      <w:pPr>
        <w:jc w:val="right"/>
        <w:rPr>
          <w:szCs w:val="24"/>
        </w:rPr>
      </w:pPr>
      <w:r>
        <w:rPr>
          <w:szCs w:val="24"/>
        </w:rPr>
        <w:t>27.02.2020</w:t>
      </w:r>
      <w:r w:rsidRPr="001E4854">
        <w:rPr>
          <w:szCs w:val="24"/>
        </w:rPr>
        <w:t>.</w:t>
      </w:r>
      <w:r>
        <w:rPr>
          <w:szCs w:val="24"/>
        </w:rPr>
        <w:t xml:space="preserve"> </w:t>
      </w:r>
      <w:r w:rsidRPr="001E4854">
        <w:rPr>
          <w:szCs w:val="24"/>
        </w:rPr>
        <w:t>sēdes</w:t>
      </w:r>
      <w:r>
        <w:rPr>
          <w:szCs w:val="24"/>
        </w:rPr>
        <w:t xml:space="preserve"> lēmumu</w:t>
      </w:r>
    </w:p>
    <w:p w:rsidR="00BB4545" w:rsidRPr="001E4854" w:rsidRDefault="00BB4545" w:rsidP="00BB4545">
      <w:pPr>
        <w:jc w:val="right"/>
        <w:rPr>
          <w:szCs w:val="24"/>
        </w:rPr>
      </w:pPr>
      <w:r w:rsidRPr="001E4854">
        <w:rPr>
          <w:szCs w:val="24"/>
        </w:rPr>
        <w:t xml:space="preserve"> (protokols Nr.</w:t>
      </w:r>
      <w:r>
        <w:rPr>
          <w:szCs w:val="24"/>
        </w:rPr>
        <w:t>6, 50</w:t>
      </w:r>
      <w:r w:rsidRPr="001E4854">
        <w:rPr>
          <w:szCs w:val="24"/>
        </w:rPr>
        <w:t>.§)</w:t>
      </w:r>
    </w:p>
    <w:p w:rsidR="00BB4545" w:rsidRDefault="00BB4545" w:rsidP="00BB4545">
      <w:pPr>
        <w:jc w:val="center"/>
        <w:rPr>
          <w:b/>
          <w:sz w:val="28"/>
          <w:szCs w:val="28"/>
        </w:rPr>
      </w:pPr>
    </w:p>
    <w:p w:rsidR="00BB4545" w:rsidRPr="00A64099" w:rsidRDefault="00BB4545" w:rsidP="00BB4545">
      <w:pPr>
        <w:jc w:val="center"/>
        <w:rPr>
          <w:b/>
          <w:sz w:val="28"/>
          <w:szCs w:val="28"/>
        </w:rPr>
      </w:pPr>
      <w:bookmarkStart w:id="0" w:name="_GoBack"/>
      <w:r w:rsidRPr="00A64099">
        <w:rPr>
          <w:b/>
          <w:sz w:val="28"/>
          <w:szCs w:val="28"/>
        </w:rPr>
        <w:t>Par augstas detalizācijas topogrāfiskās informācijas aprites kārtību Limbažu novadā</w:t>
      </w:r>
    </w:p>
    <w:bookmarkEnd w:id="0"/>
    <w:p w:rsidR="00BB4545" w:rsidRPr="003B5A11" w:rsidRDefault="00BB4545" w:rsidP="00BB4545">
      <w:pPr>
        <w:jc w:val="right"/>
        <w:rPr>
          <w:i/>
          <w:sz w:val="22"/>
        </w:rPr>
      </w:pPr>
      <w:r w:rsidRPr="003B5A11">
        <w:rPr>
          <w:i/>
          <w:sz w:val="22"/>
        </w:rPr>
        <w:t xml:space="preserve">Izdoti saskaņā </w:t>
      </w:r>
    </w:p>
    <w:p w:rsidR="00BB4545" w:rsidRPr="003B5A11" w:rsidRDefault="00BB4545" w:rsidP="00BB4545">
      <w:pPr>
        <w:jc w:val="right"/>
        <w:rPr>
          <w:i/>
          <w:sz w:val="22"/>
        </w:rPr>
      </w:pPr>
      <w:r w:rsidRPr="003B5A11">
        <w:rPr>
          <w:i/>
          <w:sz w:val="22"/>
        </w:rPr>
        <w:t xml:space="preserve">ar likuma „Par pašvaldībām” </w:t>
      </w:r>
    </w:p>
    <w:p w:rsidR="00BB4545" w:rsidRPr="003B5A11" w:rsidRDefault="00BB4545" w:rsidP="00BB4545">
      <w:pPr>
        <w:jc w:val="right"/>
        <w:rPr>
          <w:i/>
          <w:iCs/>
          <w:sz w:val="22"/>
        </w:rPr>
      </w:pPr>
      <w:r w:rsidRPr="003B5A11">
        <w:rPr>
          <w:i/>
          <w:iCs/>
          <w:sz w:val="22"/>
        </w:rPr>
        <w:t>43. panta pirmās daļas 1. un 13. punktu</w:t>
      </w:r>
    </w:p>
    <w:p w:rsidR="00BB4545" w:rsidRPr="003B5A11" w:rsidRDefault="00BB4545" w:rsidP="00BB4545">
      <w:pPr>
        <w:pStyle w:val="Sarakstarindkopa"/>
        <w:ind w:left="1080"/>
        <w:jc w:val="right"/>
        <w:rPr>
          <w:i/>
          <w:sz w:val="22"/>
        </w:rPr>
      </w:pPr>
      <w:r w:rsidRPr="003B5A11">
        <w:rPr>
          <w:i/>
          <w:sz w:val="22"/>
        </w:rPr>
        <w:t>Ģeotelpiskās informācijas likuma</w:t>
      </w:r>
    </w:p>
    <w:p w:rsidR="00BB4545" w:rsidRPr="003B5A11" w:rsidRDefault="00BB4545" w:rsidP="00BB4545">
      <w:pPr>
        <w:pStyle w:val="Sarakstarindkopa"/>
        <w:ind w:left="1080" w:hanging="371"/>
        <w:jc w:val="right"/>
        <w:rPr>
          <w:i/>
          <w:sz w:val="22"/>
        </w:rPr>
      </w:pPr>
      <w:r w:rsidRPr="003B5A11">
        <w:rPr>
          <w:i/>
          <w:sz w:val="22"/>
        </w:rPr>
        <w:t>13. panta sesto daļu un 26. panta trešo daļu,</w:t>
      </w:r>
    </w:p>
    <w:p w:rsidR="00BB4545" w:rsidRPr="003B5A11" w:rsidRDefault="00BB4545" w:rsidP="00BB4545">
      <w:pPr>
        <w:pStyle w:val="Sarakstarindkopa"/>
        <w:ind w:left="1080"/>
        <w:jc w:val="right"/>
        <w:rPr>
          <w:i/>
          <w:sz w:val="22"/>
        </w:rPr>
      </w:pPr>
      <w:r w:rsidRPr="003B5A11">
        <w:rPr>
          <w:i/>
          <w:sz w:val="22"/>
        </w:rPr>
        <w:t>Ministru kabineta 2012. gada 24. aprīļa noteikumu Nr. 281</w:t>
      </w:r>
    </w:p>
    <w:p w:rsidR="00BB4545" w:rsidRPr="003B5A11" w:rsidRDefault="00BB4545" w:rsidP="00BB4545">
      <w:pPr>
        <w:pStyle w:val="Sarakstarindkopa"/>
        <w:ind w:left="1080"/>
        <w:jc w:val="right"/>
        <w:rPr>
          <w:i/>
          <w:sz w:val="22"/>
        </w:rPr>
      </w:pPr>
      <w:r w:rsidRPr="003B5A11">
        <w:rPr>
          <w:i/>
          <w:sz w:val="22"/>
        </w:rPr>
        <w:t>,,Augstas detalizācijas topogrāfiskās informācijas</w:t>
      </w:r>
    </w:p>
    <w:p w:rsidR="00BB4545" w:rsidRPr="003B5A11" w:rsidRDefault="00BB4545" w:rsidP="00BB4545">
      <w:pPr>
        <w:pStyle w:val="Sarakstarindkopa"/>
        <w:ind w:left="1080"/>
        <w:jc w:val="right"/>
        <w:rPr>
          <w:i/>
          <w:sz w:val="22"/>
        </w:rPr>
      </w:pPr>
      <w:r w:rsidRPr="003B5A11">
        <w:rPr>
          <w:i/>
          <w:sz w:val="22"/>
        </w:rPr>
        <w:t xml:space="preserve"> un tās centrālās datu bāzes noteikumu” 69. un 79. punktu</w:t>
      </w:r>
    </w:p>
    <w:p w:rsidR="00BB4545" w:rsidRDefault="00BB4545" w:rsidP="00BB4545"/>
    <w:p w:rsidR="00BB4545" w:rsidRDefault="00BB4545" w:rsidP="00BB4545">
      <w:pPr>
        <w:pStyle w:val="Sarakstarindkopa"/>
        <w:numPr>
          <w:ilvl w:val="0"/>
          <w:numId w:val="1"/>
        </w:numPr>
        <w:ind w:left="357" w:hanging="357"/>
        <w:jc w:val="both"/>
      </w:pPr>
      <w:r>
        <w:t>S</w:t>
      </w:r>
      <w:r w:rsidRPr="00B64B1B">
        <w:t xml:space="preserve">aistošie noteikumi nosaka kārtību, kādā Limbažu novada administratīvajā teritorijā notiek augstas detalizācijas topogrāfiskās informācijas (turpmāk </w:t>
      </w:r>
      <w:r w:rsidRPr="004A4B87">
        <w:t>–</w:t>
      </w:r>
      <w:r w:rsidRPr="00B64B1B">
        <w:t xml:space="preserve"> ADTI) </w:t>
      </w:r>
      <w:r>
        <w:t>pārbaude, reģistrācija datu bāzē, sagatavošana un izsniegšana</w:t>
      </w:r>
      <w:r w:rsidRPr="00B64B1B">
        <w:t>. Šie noteikumi attiecas arī uz detālplānojumu uz zemes ierīcības projektu  grafiskajām daļām.</w:t>
      </w:r>
    </w:p>
    <w:p w:rsidR="00BB4545" w:rsidRPr="004A4B87" w:rsidRDefault="00BB4545" w:rsidP="00BB4545">
      <w:pPr>
        <w:pStyle w:val="Sarakstarindkopa"/>
        <w:numPr>
          <w:ilvl w:val="0"/>
          <w:numId w:val="1"/>
        </w:numPr>
        <w:ind w:left="357" w:hanging="357"/>
        <w:jc w:val="both"/>
      </w:pPr>
      <w:r>
        <w:t>Saistošie n</w:t>
      </w:r>
      <w:r w:rsidRPr="004A4B87">
        <w:t>oteikumi ir obligāti visām fizisk</w:t>
      </w:r>
      <w:r>
        <w:t>aj</w:t>
      </w:r>
      <w:r w:rsidRPr="004A4B87">
        <w:t>ām un juridisk</w:t>
      </w:r>
      <w:r>
        <w:t>aj</w:t>
      </w:r>
      <w:r w:rsidRPr="004A4B87">
        <w:t>ām personām, kas Limbažu novada administratīvajā teritorijā veic topogrāfiskos un ģeodēziskos darbus, izstrādā detālplānojumus, zemes ierīcības projektus, kā arī veic inženierkomunikāciju, būvju un ceļu inženierbūvju projektēšanu un būvniecību.</w:t>
      </w:r>
    </w:p>
    <w:p w:rsidR="00BB4545" w:rsidRPr="004A4B87" w:rsidRDefault="00BB4545" w:rsidP="00BB4545">
      <w:pPr>
        <w:pStyle w:val="Sarakstarindkopa"/>
        <w:numPr>
          <w:ilvl w:val="0"/>
          <w:numId w:val="1"/>
        </w:numPr>
        <w:ind w:left="357" w:hanging="357"/>
        <w:jc w:val="both"/>
      </w:pPr>
      <w:r>
        <w:t>Limbažu n</w:t>
      </w:r>
      <w:r w:rsidRPr="004A4B87">
        <w:t>ovada administratīvajā teritorijā ADTI pieņemšanu, pārbaudi un uzkrāšanu</w:t>
      </w:r>
      <w:r>
        <w:t>,</w:t>
      </w:r>
      <w:r w:rsidRPr="004A4B87">
        <w:t xml:space="preserve"> kā arī mērniecībai nepieciešamo datu izsniegšanu realizē un koordinē Limbažu novada pašvaldības izvēlēta juridiska persona (turpmāk – Datubāzes turētājs), kurai ir tiesības par pakalpojumiem</w:t>
      </w:r>
      <w:r>
        <w:t xml:space="preserve"> pret trešajām personām</w:t>
      </w:r>
      <w:r w:rsidRPr="004A4B87">
        <w:t xml:space="preserve"> saņemt samaksu</w:t>
      </w:r>
      <w:r>
        <w:t xml:space="preserve">. Maksa par datu, kuri satur augstas detalizācijas topogrāfisko informāciju, </w:t>
      </w:r>
      <w:r>
        <w:lastRenderedPageBreak/>
        <w:t xml:space="preserve">pārbaudi, reģistrāciju </w:t>
      </w:r>
      <w:r w:rsidRPr="005E25CA">
        <w:t>au</w:t>
      </w:r>
      <w:r>
        <w:t>gstas detalizācijas topogrāfiskās informācijas</w:t>
      </w:r>
      <w:r w:rsidRPr="005E25CA">
        <w:t xml:space="preserve"> par </w:t>
      </w:r>
      <w:r>
        <w:t xml:space="preserve">Limbažu novada </w:t>
      </w:r>
      <w:r w:rsidRPr="005E25CA">
        <w:t>administratīvo teritoriju</w:t>
      </w:r>
      <w:r>
        <w:t xml:space="preserve"> datubāzē (turpmāk –</w:t>
      </w:r>
      <w:r w:rsidRPr="005E25CA">
        <w:t xml:space="preserve"> </w:t>
      </w:r>
      <w:r>
        <w:t>Limbažu novada pašvaldības datubāze), sagatavošanu un izsniegšanu no minētās datubāzes ir noteikta saistošo noteikumu pielikumā</w:t>
      </w:r>
      <w:r w:rsidRPr="004A4B87">
        <w:t>.</w:t>
      </w:r>
    </w:p>
    <w:p w:rsidR="00BB4545" w:rsidRPr="004A4B87" w:rsidRDefault="00BB4545" w:rsidP="00BB4545">
      <w:pPr>
        <w:pStyle w:val="Sarakstarindkopa"/>
        <w:numPr>
          <w:ilvl w:val="0"/>
          <w:numId w:val="1"/>
        </w:numPr>
        <w:ind w:left="357" w:hanging="357"/>
        <w:jc w:val="both"/>
      </w:pPr>
      <w:r w:rsidRPr="004A4B87">
        <w:t xml:space="preserve">Datubāzes turētājs, pieņem tikai mērniecībā licencētu vai sertificētu personu, topogrāfiskos vai ģeodēziskos uzmērījumus, tai skaitā </w:t>
      </w:r>
      <w:proofErr w:type="spellStart"/>
      <w:r w:rsidRPr="004A4B87">
        <w:t>izpilduzmērījumus</w:t>
      </w:r>
      <w:proofErr w:type="spellEnd"/>
      <w:r w:rsidRPr="004A4B87">
        <w:t xml:space="preserve"> un </w:t>
      </w:r>
      <w:proofErr w:type="spellStart"/>
      <w:r w:rsidRPr="004A4B87">
        <w:t>izpildshēmas</w:t>
      </w:r>
      <w:proofErr w:type="spellEnd"/>
      <w:r w:rsidRPr="004A4B87">
        <w:t>, kas sagata</w:t>
      </w:r>
      <w:r>
        <w:t>voti digitālā formā (*</w:t>
      </w:r>
      <w:proofErr w:type="spellStart"/>
      <w:r>
        <w:t>dgn</w:t>
      </w:r>
      <w:proofErr w:type="spellEnd"/>
      <w:r>
        <w:t>, *</w:t>
      </w:r>
      <w:proofErr w:type="spellStart"/>
      <w:r>
        <w:t>dwg</w:t>
      </w:r>
      <w:proofErr w:type="spellEnd"/>
      <w:r w:rsidRPr="004A4B87">
        <w:t xml:space="preserve"> formātā), LKS 92 koordinātu </w:t>
      </w:r>
      <w:r w:rsidRPr="00B33D70">
        <w:t>sistēmā un Latvijas normālo augstumu sistēmā LAS-2000,5.</w:t>
      </w:r>
      <w:r w:rsidRPr="004A4B87">
        <w:t xml:space="preserve"> </w:t>
      </w:r>
      <w:proofErr w:type="spellStart"/>
      <w:r w:rsidRPr="004A4B87">
        <w:t>Izpildshēmās</w:t>
      </w:r>
      <w:proofErr w:type="spellEnd"/>
      <w:r w:rsidRPr="004A4B87">
        <w:t xml:space="preserve"> punktiem jābūt piesaistītiem pie vismaz 3</w:t>
      </w:r>
      <w:r>
        <w:t xml:space="preserve"> (trīs) </w:t>
      </w:r>
      <w:r w:rsidRPr="004A4B87">
        <w:t>viennozīmīgi identificējamiem</w:t>
      </w:r>
      <w:r>
        <w:t xml:space="preserve"> koordinētiem punktiem, kas uzrā</w:t>
      </w:r>
      <w:r w:rsidRPr="004A4B87">
        <w:t>dīti digitālajā topogrāfijā vai kadastra kartē.</w:t>
      </w:r>
    </w:p>
    <w:p w:rsidR="00BB4545" w:rsidRPr="00025603" w:rsidRDefault="00BB4545" w:rsidP="00BB4545">
      <w:pPr>
        <w:pStyle w:val="Sarakstarindkopa"/>
        <w:numPr>
          <w:ilvl w:val="0"/>
          <w:numId w:val="1"/>
        </w:numPr>
        <w:ind w:left="357" w:hanging="357"/>
        <w:jc w:val="both"/>
      </w:pPr>
      <w:r w:rsidRPr="00025603">
        <w:t>Ja Datubāzes turētājs mērniecības darbu veicējiem nav sniedzis informāciju par vietējo ģeodēzisko tīklu punktiem, tad to izsniedz</w:t>
      </w:r>
      <w:r>
        <w:t xml:space="preserve"> un saskaņo</w:t>
      </w:r>
      <w:r w:rsidRPr="00025603">
        <w:t xml:space="preserve"> Limbažu novada pašvaldības Nekustamā īpašuma un teritoriālā plānojuma nodaļa</w:t>
      </w:r>
      <w:r>
        <w:t xml:space="preserve">s teritorijas plānotājs </w:t>
      </w:r>
      <w:r w:rsidRPr="004A4B87">
        <w:t>–</w:t>
      </w:r>
      <w:r>
        <w:t xml:space="preserve"> kartogrāfs</w:t>
      </w:r>
      <w:r w:rsidRPr="00025603">
        <w:t>.</w:t>
      </w:r>
    </w:p>
    <w:p w:rsidR="00BB4545" w:rsidRPr="00025603" w:rsidRDefault="00BB4545" w:rsidP="00BB4545">
      <w:pPr>
        <w:pStyle w:val="Sarakstarindkopa"/>
        <w:numPr>
          <w:ilvl w:val="0"/>
          <w:numId w:val="1"/>
        </w:numPr>
        <w:ind w:left="357" w:hanging="357"/>
        <w:jc w:val="both"/>
      </w:pPr>
      <w:r w:rsidRPr="00025603">
        <w:t>Ģeodēzisko darbu veicējiem topogrāfiskajā plānā jāattēlo visi uzmērāmajā teritorijā esošie valsts un vietējā ģeodēzisk</w:t>
      </w:r>
      <w:r>
        <w:t>ā tīkla</w:t>
      </w:r>
      <w:r w:rsidRPr="00025603">
        <w:t xml:space="preserve"> punkti.</w:t>
      </w:r>
    </w:p>
    <w:p w:rsidR="00BB4545" w:rsidRDefault="00BB4545" w:rsidP="00BB4545">
      <w:pPr>
        <w:pStyle w:val="Sarakstarindkopa"/>
        <w:numPr>
          <w:ilvl w:val="0"/>
          <w:numId w:val="1"/>
        </w:numPr>
        <w:ind w:left="357" w:hanging="357"/>
        <w:jc w:val="both"/>
      </w:pPr>
      <w:r w:rsidRPr="00EF7875">
        <w:t>Informāciju, kas nepieciešama mērniecības darbu veikšanai,</w:t>
      </w:r>
      <w:r>
        <w:t xml:space="preserve"> Datubāzes turētājs autorizētiem lietotājiem </w:t>
      </w:r>
      <w:r w:rsidRPr="00EF7875">
        <w:t>sniedz</w:t>
      </w:r>
      <w:r>
        <w:t xml:space="preserve"> bez maksas interneta vietnē tiešsaistē.</w:t>
      </w:r>
    </w:p>
    <w:p w:rsidR="00BB4545" w:rsidRDefault="00BB4545" w:rsidP="00BB4545">
      <w:pPr>
        <w:pStyle w:val="Sarakstarindkopa"/>
        <w:numPr>
          <w:ilvl w:val="0"/>
          <w:numId w:val="1"/>
        </w:numPr>
        <w:ind w:left="357" w:hanging="357"/>
        <w:jc w:val="both"/>
      </w:pPr>
      <w:r w:rsidRPr="00EF7875">
        <w:t>Uzmērītā topogrāfiskā informācija un ģeodēziskie uzmērījumi iesniedzami</w:t>
      </w:r>
      <w:r>
        <w:t xml:space="preserve"> </w:t>
      </w:r>
      <w:r w:rsidRPr="00EF7875">
        <w:t xml:space="preserve">pārbaudei  </w:t>
      </w:r>
      <w:r>
        <w:t>Datubāzes turētājam</w:t>
      </w:r>
      <w:r w:rsidRPr="00EF7875">
        <w:t>,</w:t>
      </w:r>
      <w:r>
        <w:t xml:space="preserve"> </w:t>
      </w:r>
      <w:r w:rsidRPr="00EF7875">
        <w:t xml:space="preserve">kas to saskaņo </w:t>
      </w:r>
      <w:r>
        <w:t>2 (</w:t>
      </w:r>
      <w:r w:rsidRPr="00EF7875">
        <w:t>divu</w:t>
      </w:r>
      <w:r>
        <w:t>)</w:t>
      </w:r>
      <w:r w:rsidRPr="00EF7875">
        <w:t xml:space="preserve"> darba dienu laikā</w:t>
      </w:r>
      <w:r>
        <w:t>, ievērojot</w:t>
      </w:r>
      <w:r w:rsidRPr="00EF7875">
        <w:t xml:space="preserve"> </w:t>
      </w:r>
      <w:r>
        <w:t>nosacījumu</w:t>
      </w:r>
      <w:r w:rsidRPr="00EF7875">
        <w:t xml:space="preserve">, ka iesniegtie  uzmērījumi atbilst reālai situācijai un valstī noteiktajiem standartiem. Limbažu novada pašvaldības institūcijas, tai skaitā </w:t>
      </w:r>
      <w:r>
        <w:t>Limbažu novada pašvaldības B</w:t>
      </w:r>
      <w:r w:rsidRPr="00EF7875">
        <w:t>ūvvalde atzīst par atbilstošu (lietošanai derīgu) tikai šādā veidā saskaņotu topogrāfisko informāciju.</w:t>
      </w:r>
    </w:p>
    <w:p w:rsidR="00BB4545" w:rsidRDefault="00BB4545" w:rsidP="00BB4545">
      <w:pPr>
        <w:pStyle w:val="Sarakstarindkopa"/>
        <w:numPr>
          <w:ilvl w:val="0"/>
          <w:numId w:val="1"/>
        </w:numPr>
        <w:ind w:left="357" w:hanging="357"/>
        <w:jc w:val="both"/>
      </w:pPr>
      <w:r>
        <w:t>Ja iesniegtajā topogrāfiskajā informācijā tiek konstatētas būtiskas atšķirības no ADTI datubāzē reģistrētajiem datiem, tad Datubāzes turētājam ir tiesības pieprasīt no topogrāfisko darbu veicēja iesniegt uzmērīšanas lietu un lauka mērījumu datu izdrukas, lai pārliecinātos par mērījumu ticamību.</w:t>
      </w:r>
    </w:p>
    <w:p w:rsidR="00BB4545" w:rsidRDefault="00BB4545" w:rsidP="00BB4545">
      <w:pPr>
        <w:pStyle w:val="Sarakstarindkopa"/>
        <w:numPr>
          <w:ilvl w:val="0"/>
          <w:numId w:val="1"/>
        </w:numPr>
        <w:ind w:left="357" w:hanging="357"/>
        <w:jc w:val="both"/>
      </w:pPr>
      <w:r>
        <w:t xml:space="preserve">Pirms topogrāfiskā plāna iesniegšanas pārbaudei un reģistrācijai </w:t>
      </w:r>
      <w:r w:rsidRPr="00664821">
        <w:t>ADTI datubāzē</w:t>
      </w:r>
      <w:r>
        <w:t xml:space="preserve"> to saskaņo ar šādiem inženierkomunikāciju turētājiem:</w:t>
      </w:r>
    </w:p>
    <w:p w:rsidR="00BB4545" w:rsidRDefault="00BB4545" w:rsidP="00BB4545">
      <w:pPr>
        <w:pStyle w:val="Sarakstarindkopa"/>
        <w:ind w:left="924" w:hanging="567"/>
        <w:jc w:val="both"/>
      </w:pPr>
      <w:r>
        <w:t>10.1. SIA “</w:t>
      </w:r>
      <w:proofErr w:type="spellStart"/>
      <w:r>
        <w:t>Tet</w:t>
      </w:r>
      <w:proofErr w:type="spellEnd"/>
      <w:r>
        <w:t>”;</w:t>
      </w:r>
    </w:p>
    <w:p w:rsidR="00BB4545" w:rsidRDefault="00BB4545" w:rsidP="00BB4545">
      <w:pPr>
        <w:pStyle w:val="Sarakstarindkopa"/>
        <w:ind w:left="924" w:hanging="567"/>
        <w:jc w:val="both"/>
      </w:pPr>
      <w:r>
        <w:t>10.2. AS “Sadales tīkls”;</w:t>
      </w:r>
    </w:p>
    <w:p w:rsidR="00BB4545" w:rsidRDefault="00BB4545" w:rsidP="00BB4545">
      <w:pPr>
        <w:ind w:left="924" w:hanging="567"/>
        <w:jc w:val="both"/>
      </w:pPr>
      <w:r>
        <w:t xml:space="preserve">10.3. Limbažu pilsētas sabiedrība ar ierobežotu atbildību “Limbažu </w:t>
      </w:r>
      <w:proofErr w:type="spellStart"/>
      <w:r>
        <w:t>komunālserviss</w:t>
      </w:r>
      <w:proofErr w:type="spellEnd"/>
      <w:r>
        <w:t>”;</w:t>
      </w:r>
    </w:p>
    <w:p w:rsidR="00BB4545" w:rsidRDefault="00BB4545" w:rsidP="00BB4545">
      <w:pPr>
        <w:pStyle w:val="Sarakstarindkopa"/>
        <w:ind w:left="924" w:hanging="567"/>
        <w:jc w:val="both"/>
      </w:pPr>
      <w:r>
        <w:t>10.4. SIA “Limbažu siltums”;</w:t>
      </w:r>
    </w:p>
    <w:p w:rsidR="00BB4545" w:rsidRDefault="00BB4545" w:rsidP="00BB4545">
      <w:pPr>
        <w:pStyle w:val="Sarakstarindkopa"/>
        <w:ind w:left="924" w:hanging="567"/>
        <w:jc w:val="both"/>
      </w:pPr>
      <w:r>
        <w:t>10.5. VSIA “Zemkopības ministrijas nekustamie īpašumi” Vidzemes reģiona meliorācijas nodaļa;</w:t>
      </w:r>
    </w:p>
    <w:p w:rsidR="00BB4545" w:rsidRDefault="00BB4545" w:rsidP="00BB4545">
      <w:pPr>
        <w:pStyle w:val="Sarakstarindkopa"/>
        <w:ind w:left="924" w:hanging="567"/>
        <w:jc w:val="both"/>
      </w:pPr>
      <w:r>
        <w:t>10.6. VAS “Latvijas valsts radio un televīzijas centrs”;</w:t>
      </w:r>
    </w:p>
    <w:p w:rsidR="00BB4545" w:rsidRDefault="00BB4545" w:rsidP="00BB4545">
      <w:pPr>
        <w:pStyle w:val="Sarakstarindkopa"/>
        <w:ind w:left="924" w:hanging="567"/>
        <w:jc w:val="both"/>
      </w:pPr>
      <w:r>
        <w:t>10.7. Limbažu pilsētas apgaismes un lietus kanalizācijas inženiertīklus saskaņo Limbažu pilsētas un pašvaldības īpašumu apsaimniekošanas nodaļas vadītājs;</w:t>
      </w:r>
    </w:p>
    <w:p w:rsidR="00BB4545" w:rsidRPr="007C7B7B" w:rsidRDefault="00BB4545" w:rsidP="00BB4545">
      <w:pPr>
        <w:pStyle w:val="Sarakstarindkopa"/>
        <w:ind w:left="924" w:hanging="567"/>
        <w:jc w:val="both"/>
      </w:pPr>
      <w:r w:rsidRPr="007C7B7B">
        <w:t xml:space="preserve">10.8. </w:t>
      </w:r>
      <w:r>
        <w:t>Limbažu novada pašvaldībai piederošos inženiertīklus pagastu teritorijās saskaņo attiecīgās pagasta pārvaldes vadītājs.</w:t>
      </w:r>
    </w:p>
    <w:p w:rsidR="00BB4545" w:rsidRDefault="00BB4545" w:rsidP="00BB4545">
      <w:pPr>
        <w:pStyle w:val="Sarakstarindkopa"/>
        <w:numPr>
          <w:ilvl w:val="0"/>
          <w:numId w:val="1"/>
        </w:numPr>
        <w:ind w:left="357" w:hanging="357"/>
        <w:jc w:val="both"/>
      </w:pPr>
      <w:r>
        <w:t xml:space="preserve">Pilsētu un ciemu teritorijās topogrāfiskajos plānos jāuzrāda sarkanās līnijas, ko pirms iesniegšanas Datubāzes turētājam jāsaskaņo ar </w:t>
      </w:r>
      <w:r w:rsidRPr="007C7B7B">
        <w:t>Limbažu novada pašvaldības Nekustamā īpašuma un teritorijas plānošan</w:t>
      </w:r>
      <w:r>
        <w:t xml:space="preserve">as nodaļas teritorijas plānotāju </w:t>
      </w:r>
      <w:r w:rsidRPr="004A4B87">
        <w:t>–</w:t>
      </w:r>
      <w:r>
        <w:t xml:space="preserve"> kartogrāfu. </w:t>
      </w:r>
    </w:p>
    <w:p w:rsidR="00BB4545" w:rsidRDefault="00BB4545" w:rsidP="00BB4545">
      <w:pPr>
        <w:pStyle w:val="Sarakstarindkopa"/>
        <w:numPr>
          <w:ilvl w:val="0"/>
          <w:numId w:val="1"/>
        </w:numPr>
        <w:ind w:left="357" w:hanging="357"/>
        <w:jc w:val="both"/>
      </w:pPr>
      <w:r>
        <w:t>Saskaņojot mērniecības darbu izpildītāju iesniegto topogrāfisko plānu, inženiertīklu turētāju pienākums ir pārbaudīt inženierkomunikāciju uzmērījuma un attēlojuma atbilstību to rīcībā esošajiem datiem, bet nepieciešamības gadījumā kopā ar mērniecības darbu izpildītāju veikt komunikāciju apsekošanu un meklēšanu dabā. Inženiertīklu turētāji ir atbildīgi par inženierkomunikāciju uzmērījuma un attēlojuma pareizību to izsniegtajos datos, apliecinot to ar atbildīgās personas saskaņojumu uz mērniecības darbu izpildītāja iesniegtā topogrāfiskā plāna</w:t>
      </w:r>
      <w:r w:rsidRPr="00025603">
        <w:t>.</w:t>
      </w:r>
    </w:p>
    <w:p w:rsidR="00BB4545" w:rsidRPr="00A1108B" w:rsidRDefault="00BB4545" w:rsidP="00BB4545">
      <w:pPr>
        <w:pStyle w:val="Sarakstarindkopa"/>
        <w:numPr>
          <w:ilvl w:val="0"/>
          <w:numId w:val="1"/>
        </w:numPr>
        <w:ind w:left="357" w:hanging="357"/>
        <w:jc w:val="both"/>
      </w:pPr>
      <w:r w:rsidRPr="00A1108B">
        <w:t xml:space="preserve">Ja veicot būvdarbus vai rakšanas darbus, tiek atrastas topogrāfiskajā plānā neuzrādītas vai vietai neatbilstošas inženierkomunikācijas vai citas būves, tad jāfiksē to novietojums dabā, jāuzmēra un jāattēlo </w:t>
      </w:r>
      <w:proofErr w:type="spellStart"/>
      <w:r w:rsidRPr="00A1108B">
        <w:t>izpildshēmā</w:t>
      </w:r>
      <w:proofErr w:type="spellEnd"/>
      <w:r w:rsidRPr="00A1108B">
        <w:t xml:space="preserve"> vai topogrāfiskajā plānā.</w:t>
      </w:r>
    </w:p>
    <w:p w:rsidR="00BB4545" w:rsidRPr="00A1108B" w:rsidRDefault="00BB4545" w:rsidP="00BB4545">
      <w:pPr>
        <w:pStyle w:val="Sarakstarindkopa"/>
        <w:numPr>
          <w:ilvl w:val="0"/>
          <w:numId w:val="1"/>
        </w:numPr>
        <w:ind w:left="357" w:hanging="357"/>
        <w:jc w:val="both"/>
      </w:pPr>
      <w:r w:rsidRPr="00A1108B">
        <w:t>No jauna izbūvētie inženiertīkli jāuzmēra pirms tranšejas (būvbedres) aizbēršanas.</w:t>
      </w:r>
    </w:p>
    <w:p w:rsidR="00BB4545" w:rsidRDefault="00BB4545" w:rsidP="00BB4545">
      <w:pPr>
        <w:pStyle w:val="Sarakstarindkopa"/>
        <w:numPr>
          <w:ilvl w:val="0"/>
          <w:numId w:val="1"/>
        </w:numPr>
        <w:ind w:left="357" w:hanging="357"/>
        <w:jc w:val="both"/>
      </w:pPr>
      <w:r w:rsidRPr="00025603">
        <w:lastRenderedPageBreak/>
        <w:t xml:space="preserve">Pēc būvdarbu pabeigšanas pasūtītājam jānodrošina ēkas (būves) un inženierkomunikāciju faktiskā novietojuma uzmērījums, kas iesniedzams </w:t>
      </w:r>
      <w:r>
        <w:t>Limbažu novada pašvaldības B</w:t>
      </w:r>
      <w:r w:rsidRPr="00025603">
        <w:t>ūvvaldē, objektu nododot ekspluatācijā.</w:t>
      </w:r>
    </w:p>
    <w:p w:rsidR="00BB4545" w:rsidRPr="0060756A" w:rsidRDefault="00BB4545" w:rsidP="00BB4545">
      <w:pPr>
        <w:pStyle w:val="Sarakstarindkopa"/>
        <w:numPr>
          <w:ilvl w:val="0"/>
          <w:numId w:val="1"/>
        </w:numPr>
        <w:ind w:left="357" w:hanging="357"/>
        <w:jc w:val="both"/>
      </w:pPr>
      <w:r>
        <w:t xml:space="preserve">Limbažu novada pašvaldības Būvvalde saskaņo vai akceptē tikai tādas būvniecības ieceres, kuras izstrādātas uz licencētu vai sertificētu personu sagatavota topogrāfiskā plāna, kas ievadīts </w:t>
      </w:r>
      <w:r w:rsidRPr="00871AF1">
        <w:t xml:space="preserve">vienotajā </w:t>
      </w:r>
      <w:r w:rsidRPr="005778BC">
        <w:t>ADTI digitālajā kartē</w:t>
      </w:r>
      <w:r>
        <w:t xml:space="preserve"> (turpmāk </w:t>
      </w:r>
      <w:r w:rsidRPr="0060756A">
        <w:t>– Datubāze). Datubāzē ievadīta</w:t>
      </w:r>
      <w:r>
        <w:t>is</w:t>
      </w:r>
      <w:r w:rsidRPr="0060756A">
        <w:t xml:space="preserve"> topogrāfisk</w:t>
      </w:r>
      <w:r>
        <w:t>ais plāns jāiekļauj būvniecības ieceres dokumentācijas</w:t>
      </w:r>
      <w:r w:rsidRPr="0060756A">
        <w:t xml:space="preserve"> sa</w:t>
      </w:r>
      <w:r>
        <w:t>stāvā</w:t>
      </w:r>
      <w:r w:rsidRPr="0060756A">
        <w:t>.</w:t>
      </w:r>
    </w:p>
    <w:p w:rsidR="00BB4545" w:rsidRPr="0060756A" w:rsidRDefault="00BB4545" w:rsidP="00BB4545">
      <w:pPr>
        <w:pStyle w:val="Sarakstarindkopa"/>
        <w:numPr>
          <w:ilvl w:val="0"/>
          <w:numId w:val="1"/>
        </w:numPr>
        <w:ind w:left="357" w:hanging="357"/>
        <w:jc w:val="both"/>
      </w:pPr>
      <w:r w:rsidRPr="0060756A">
        <w:t xml:space="preserve">Detālplānojumu un zemes ierīcības projektu grafiskās daļas ir nododamas pārbaudei Datubāzes turētājam, lai pārbaudītu attēloto elementu atbilstību specifikācijai. </w:t>
      </w:r>
      <w:r>
        <w:t>Limbažu novada p</w:t>
      </w:r>
      <w:r w:rsidRPr="0060756A">
        <w:t>ašvaldība lēmumu par zemes ierīcības projekta vai detālplānojuma redakcijas saskaņošanu pieņem tikai pēc saskaņojuma saņemšanas no Datubāzes turētāja.</w:t>
      </w:r>
    </w:p>
    <w:p w:rsidR="00BB4545" w:rsidRDefault="00BB4545" w:rsidP="00BB4545">
      <w:pPr>
        <w:pStyle w:val="Sarakstarindkopa"/>
        <w:numPr>
          <w:ilvl w:val="0"/>
          <w:numId w:val="1"/>
        </w:numPr>
        <w:ind w:left="357" w:hanging="357"/>
        <w:jc w:val="both"/>
      </w:pPr>
      <w:r w:rsidRPr="0060756A">
        <w:t>Ja starp Datubāzes turētāju un mērniecības darbus veikušo sertificēto vai licencēto personu rodas strīds, tad veikto darbu pārbaudei un strīda atrisināšanai tiek pieaicināta cita mērniecībā sertificēta vai licencēta persona. Kļūdas gadījumā</w:t>
      </w:r>
      <w:r>
        <w:t xml:space="preserve"> darbus apmaksā vainīgā puse. Par vainīgās puses pārkāpumu tiek informēta mērniecības jomas sertificējošā institūcija.</w:t>
      </w:r>
    </w:p>
    <w:p w:rsidR="00BB4545" w:rsidRPr="008B0A9E" w:rsidRDefault="00BB4545" w:rsidP="00BB4545">
      <w:pPr>
        <w:pStyle w:val="Sarakstarindkopa"/>
        <w:numPr>
          <w:ilvl w:val="0"/>
          <w:numId w:val="1"/>
        </w:numPr>
        <w:ind w:left="357" w:hanging="357"/>
        <w:jc w:val="both"/>
      </w:pPr>
      <w:r w:rsidRPr="008B0A9E">
        <w:t xml:space="preserve">Ar šo </w:t>
      </w:r>
      <w:r>
        <w:t>saistošo n</w:t>
      </w:r>
      <w:r w:rsidRPr="008B0A9E">
        <w:t xml:space="preserve">oteikumu spēkā stāšanās brīdi atzīt par spēku zaudējušiem Limbažu novada </w:t>
      </w:r>
      <w:r>
        <w:t xml:space="preserve">pašvaldības </w:t>
      </w:r>
      <w:r w:rsidRPr="008B0A9E">
        <w:rPr>
          <w:bCs/>
        </w:rPr>
        <w:t>2011.</w:t>
      </w:r>
      <w:r>
        <w:rPr>
          <w:bCs/>
        </w:rPr>
        <w:t xml:space="preserve"> </w:t>
      </w:r>
      <w:r w:rsidRPr="008B0A9E">
        <w:rPr>
          <w:bCs/>
        </w:rPr>
        <w:t>gada 24.</w:t>
      </w:r>
      <w:r>
        <w:rPr>
          <w:bCs/>
        </w:rPr>
        <w:t xml:space="preserve"> a</w:t>
      </w:r>
      <w:r w:rsidRPr="008B0A9E">
        <w:rPr>
          <w:bCs/>
        </w:rPr>
        <w:t>ugusta</w:t>
      </w:r>
      <w:r>
        <w:rPr>
          <w:bCs/>
        </w:rPr>
        <w:t xml:space="preserve"> saistošos noteikumus</w:t>
      </w:r>
      <w:r w:rsidRPr="008B0A9E">
        <w:rPr>
          <w:bCs/>
        </w:rPr>
        <w:t xml:space="preserve"> Nr. 24 „Par augstas detalizācijas topogrāfiskās informācijas aprites kārtību Limbažu novadā”.</w:t>
      </w:r>
    </w:p>
    <w:p w:rsidR="00BB4545" w:rsidRDefault="00BB4545" w:rsidP="00BB4545">
      <w:pPr>
        <w:tabs>
          <w:tab w:val="left" w:pos="8364"/>
        </w:tabs>
        <w:rPr>
          <w:highlight w:val="yellow"/>
        </w:rPr>
      </w:pPr>
    </w:p>
    <w:p w:rsidR="00BB4545" w:rsidRPr="00A64099" w:rsidRDefault="00BB4545" w:rsidP="00BB4545">
      <w:pPr>
        <w:tabs>
          <w:tab w:val="left" w:pos="8364"/>
        </w:tabs>
        <w:rPr>
          <w:highlight w:val="yellow"/>
        </w:rPr>
      </w:pPr>
    </w:p>
    <w:p w:rsidR="00BB4545" w:rsidRDefault="00BB4545" w:rsidP="00BB4545">
      <w:pPr>
        <w:tabs>
          <w:tab w:val="left" w:pos="8364"/>
        </w:tabs>
      </w:pPr>
      <w:r>
        <w:t>Limbažu novada pašvaldības</w:t>
      </w:r>
    </w:p>
    <w:p w:rsidR="00BB4545" w:rsidRDefault="00BB4545" w:rsidP="00BB4545">
      <w:pPr>
        <w:tabs>
          <w:tab w:val="left" w:pos="8364"/>
        </w:tabs>
      </w:pPr>
      <w:r w:rsidRPr="008F306F">
        <w:t>Domes priekšsēdētājs</w:t>
      </w:r>
      <w:r>
        <w:tab/>
      </w:r>
      <w:r>
        <w:tab/>
      </w:r>
      <w:r w:rsidRPr="008F306F">
        <w:t>D.</w:t>
      </w:r>
      <w:r>
        <w:t xml:space="preserve"> Zemmers</w:t>
      </w:r>
    </w:p>
    <w:p w:rsidR="00BB4545" w:rsidRDefault="00BB4545" w:rsidP="00BB4545">
      <w:pPr>
        <w:sectPr w:rsidR="00BB4545" w:rsidSect="00BB4545">
          <w:headerReference w:type="default" r:id="rId8"/>
          <w:headerReference w:type="first" r:id="rId9"/>
          <w:pgSz w:w="12240" w:h="15840"/>
          <w:pgMar w:top="567" w:right="567" w:bottom="1134" w:left="1701" w:header="709" w:footer="709" w:gutter="0"/>
          <w:cols w:space="708"/>
          <w:titlePg/>
          <w:docGrid w:linePitch="360"/>
        </w:sectPr>
      </w:pPr>
    </w:p>
    <w:p w:rsidR="00BB4545" w:rsidRPr="00857B68" w:rsidRDefault="00BB4545" w:rsidP="00BB4545">
      <w:pPr>
        <w:jc w:val="right"/>
        <w:rPr>
          <w:b/>
        </w:rPr>
      </w:pPr>
      <w:r w:rsidRPr="00857B68">
        <w:rPr>
          <w:b/>
        </w:rPr>
        <w:lastRenderedPageBreak/>
        <w:t>PIELIKUMS</w:t>
      </w:r>
    </w:p>
    <w:p w:rsidR="00BB4545" w:rsidRDefault="00BB4545" w:rsidP="00BB4545">
      <w:pPr>
        <w:jc w:val="right"/>
      </w:pPr>
      <w:r w:rsidRPr="00857B68">
        <w:t xml:space="preserve">Limbažu novada pašvaldības </w:t>
      </w:r>
    </w:p>
    <w:p w:rsidR="00BB4545" w:rsidRPr="00857B68" w:rsidRDefault="00BB4545" w:rsidP="00BB4545">
      <w:pPr>
        <w:jc w:val="right"/>
      </w:pPr>
      <w:r>
        <w:t>27.02.2020. s</w:t>
      </w:r>
      <w:r w:rsidRPr="00857B68">
        <w:t>aistoš</w:t>
      </w:r>
      <w:r>
        <w:t>aj</w:t>
      </w:r>
      <w:r w:rsidRPr="00857B68">
        <w:t>iem noteikumiem Nr.</w:t>
      </w:r>
      <w:r>
        <w:t xml:space="preserve"> 3</w:t>
      </w:r>
      <w:r w:rsidRPr="00857B68">
        <w:t xml:space="preserve"> </w:t>
      </w:r>
    </w:p>
    <w:p w:rsidR="00BB4545" w:rsidRPr="00857B68" w:rsidRDefault="00BB4545" w:rsidP="00BB4545">
      <w:pPr>
        <w:jc w:val="right"/>
      </w:pPr>
      <w:r w:rsidRPr="00857B68">
        <w:t>“Par augstas detalizācijas topogrāfiskās informācijas</w:t>
      </w:r>
    </w:p>
    <w:p w:rsidR="00BB4545" w:rsidRDefault="00BB4545" w:rsidP="00BB4545">
      <w:pPr>
        <w:jc w:val="right"/>
      </w:pPr>
      <w:r w:rsidRPr="00857B68">
        <w:t>aprites kārtību Limbažu novadā”</w:t>
      </w:r>
    </w:p>
    <w:p w:rsidR="00BB4545" w:rsidRDefault="00BB4545" w:rsidP="00BB4545">
      <w:pPr>
        <w:jc w:val="right"/>
      </w:pPr>
    </w:p>
    <w:p w:rsidR="00BB4545" w:rsidRPr="00FE5A59" w:rsidRDefault="00BB4545" w:rsidP="00BB4545">
      <w:pPr>
        <w:tabs>
          <w:tab w:val="left" w:pos="3408"/>
        </w:tabs>
        <w:jc w:val="center"/>
        <w:rPr>
          <w:b/>
          <w:sz w:val="28"/>
          <w:szCs w:val="28"/>
        </w:rPr>
      </w:pPr>
      <w:r w:rsidRPr="00FE5A59">
        <w:rPr>
          <w:b/>
          <w:sz w:val="28"/>
          <w:szCs w:val="28"/>
        </w:rPr>
        <w:t xml:space="preserve">Maksa par datu, kuri satur augstas detalizācijas topogrāfisko informāciju, pārbaudi, reģistrāciju Limbažu novada pašvaldības datubāzē, </w:t>
      </w:r>
    </w:p>
    <w:p w:rsidR="00BB4545" w:rsidRPr="00FE5A59" w:rsidRDefault="00BB4545" w:rsidP="00BB4545">
      <w:pPr>
        <w:tabs>
          <w:tab w:val="left" w:pos="3408"/>
        </w:tabs>
        <w:jc w:val="center"/>
        <w:rPr>
          <w:b/>
          <w:sz w:val="28"/>
          <w:szCs w:val="28"/>
        </w:rPr>
      </w:pPr>
      <w:r w:rsidRPr="00FE5A59">
        <w:rPr>
          <w:b/>
          <w:sz w:val="28"/>
          <w:szCs w:val="28"/>
        </w:rPr>
        <w:t>sagatavošanu un izsniegšanu no datubāzes</w:t>
      </w:r>
    </w:p>
    <w:p w:rsidR="00BB4545" w:rsidRDefault="00BB4545" w:rsidP="00BB4545">
      <w:pPr>
        <w:jc w:val="right"/>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4954"/>
        <w:gridCol w:w="1560"/>
        <w:gridCol w:w="1701"/>
      </w:tblGrid>
      <w:tr w:rsidR="00BB4545" w:rsidRPr="001051D7" w:rsidTr="00C35BC8">
        <w:trPr>
          <w:jc w:val="center"/>
        </w:trPr>
        <w:tc>
          <w:tcPr>
            <w:tcW w:w="824" w:type="dxa"/>
            <w:shd w:val="clear" w:color="auto" w:fill="auto"/>
          </w:tcPr>
          <w:p w:rsidR="00BB4545" w:rsidRDefault="00BB4545" w:rsidP="00C35BC8">
            <w:pPr>
              <w:jc w:val="center"/>
              <w:rPr>
                <w:b/>
              </w:rPr>
            </w:pPr>
            <w:r w:rsidRPr="00FE5A59">
              <w:rPr>
                <w:b/>
              </w:rPr>
              <w:t>Nr.</w:t>
            </w:r>
          </w:p>
          <w:p w:rsidR="00BB4545" w:rsidRPr="00FE5A59" w:rsidRDefault="00BB4545" w:rsidP="00C35BC8">
            <w:pPr>
              <w:jc w:val="center"/>
              <w:rPr>
                <w:b/>
              </w:rPr>
            </w:pPr>
            <w:r w:rsidRPr="00FE5A59">
              <w:rPr>
                <w:b/>
              </w:rPr>
              <w:t>p. k.</w:t>
            </w:r>
          </w:p>
        </w:tc>
        <w:tc>
          <w:tcPr>
            <w:tcW w:w="4954" w:type="dxa"/>
            <w:shd w:val="clear" w:color="auto" w:fill="auto"/>
          </w:tcPr>
          <w:p w:rsidR="00BB4545" w:rsidRPr="00FE5A59" w:rsidRDefault="00BB4545" w:rsidP="00C35BC8">
            <w:pPr>
              <w:jc w:val="center"/>
              <w:rPr>
                <w:b/>
              </w:rPr>
            </w:pPr>
            <w:r w:rsidRPr="00FE5A59">
              <w:rPr>
                <w:b/>
              </w:rPr>
              <w:t>Pakalpojuma nosaukums</w:t>
            </w:r>
          </w:p>
        </w:tc>
        <w:tc>
          <w:tcPr>
            <w:tcW w:w="1560" w:type="dxa"/>
          </w:tcPr>
          <w:p w:rsidR="00BB4545" w:rsidRPr="00FE5A59" w:rsidRDefault="00BB4545" w:rsidP="00C35BC8">
            <w:pPr>
              <w:jc w:val="center"/>
              <w:rPr>
                <w:b/>
              </w:rPr>
            </w:pPr>
            <w:r w:rsidRPr="00FE5A59">
              <w:rPr>
                <w:b/>
              </w:rPr>
              <w:t>Cena, EUR</w:t>
            </w:r>
          </w:p>
          <w:p w:rsidR="00BB4545" w:rsidRPr="00FE5A59" w:rsidRDefault="00BB4545" w:rsidP="00C35BC8">
            <w:pPr>
              <w:jc w:val="center"/>
              <w:rPr>
                <w:b/>
              </w:rPr>
            </w:pPr>
            <w:r w:rsidRPr="00FE5A59">
              <w:rPr>
                <w:b/>
              </w:rPr>
              <w:t>bez PVN</w:t>
            </w:r>
          </w:p>
        </w:tc>
        <w:tc>
          <w:tcPr>
            <w:tcW w:w="1701" w:type="dxa"/>
          </w:tcPr>
          <w:p w:rsidR="00BB4545" w:rsidRPr="00FE5A59" w:rsidRDefault="00BB4545" w:rsidP="00C35BC8">
            <w:pPr>
              <w:jc w:val="center"/>
              <w:rPr>
                <w:b/>
              </w:rPr>
            </w:pPr>
            <w:r w:rsidRPr="00FE5A59">
              <w:rPr>
                <w:b/>
              </w:rPr>
              <w:t>Cena, EUR ar PVN 21%</w:t>
            </w:r>
          </w:p>
        </w:tc>
      </w:tr>
      <w:tr w:rsidR="00BB4545" w:rsidRPr="001051D7" w:rsidTr="00C35BC8">
        <w:trPr>
          <w:jc w:val="center"/>
        </w:trPr>
        <w:tc>
          <w:tcPr>
            <w:tcW w:w="824" w:type="dxa"/>
            <w:shd w:val="clear" w:color="auto" w:fill="auto"/>
          </w:tcPr>
          <w:p w:rsidR="00BB4545" w:rsidRPr="001051D7" w:rsidRDefault="00BB4545" w:rsidP="00BB4545">
            <w:pPr>
              <w:pStyle w:val="Sarakstarindkopa"/>
              <w:numPr>
                <w:ilvl w:val="0"/>
                <w:numId w:val="2"/>
              </w:numPr>
              <w:jc w:val="center"/>
            </w:pPr>
          </w:p>
        </w:tc>
        <w:tc>
          <w:tcPr>
            <w:tcW w:w="4954" w:type="dxa"/>
            <w:shd w:val="clear" w:color="auto" w:fill="auto"/>
          </w:tcPr>
          <w:p w:rsidR="00BB4545" w:rsidRPr="001051D7" w:rsidRDefault="00BB4545" w:rsidP="00C35BC8">
            <w:pPr>
              <w:rPr>
                <w:b/>
              </w:rPr>
            </w:pPr>
            <w:r w:rsidRPr="001051D7">
              <w:rPr>
                <w:b/>
              </w:rPr>
              <w:t>Topogrāfiskās informācijas (tai skaitā ielu sarkano līniju) izsniegšana, pieņemšana, pārbaude, ievadīšana  datu planšetēs un reģistrēšana datubāzē un nosūtīšana pašvaldībai</w:t>
            </w:r>
          </w:p>
        </w:tc>
        <w:tc>
          <w:tcPr>
            <w:tcW w:w="1560" w:type="dxa"/>
          </w:tcPr>
          <w:p w:rsidR="00BB4545" w:rsidRPr="001051D7" w:rsidRDefault="00BB4545" w:rsidP="00C35BC8"/>
        </w:tc>
        <w:tc>
          <w:tcPr>
            <w:tcW w:w="1701" w:type="dxa"/>
          </w:tcPr>
          <w:p w:rsidR="00BB4545" w:rsidRPr="001051D7" w:rsidRDefault="00BB4545" w:rsidP="00C35BC8"/>
        </w:tc>
      </w:tr>
      <w:tr w:rsidR="00BB4545" w:rsidRPr="001051D7" w:rsidTr="00C35BC8">
        <w:trPr>
          <w:jc w:val="center"/>
        </w:trPr>
        <w:tc>
          <w:tcPr>
            <w:tcW w:w="824" w:type="dxa"/>
            <w:shd w:val="clear" w:color="auto" w:fill="auto"/>
          </w:tcPr>
          <w:p w:rsidR="00BB4545" w:rsidRPr="001051D7" w:rsidRDefault="00BB4545" w:rsidP="00C35BC8">
            <w:pPr>
              <w:jc w:val="center"/>
            </w:pPr>
            <w:r w:rsidRPr="001051D7">
              <w:t>1.1.</w:t>
            </w:r>
          </w:p>
        </w:tc>
        <w:tc>
          <w:tcPr>
            <w:tcW w:w="4954" w:type="dxa"/>
            <w:shd w:val="clear" w:color="auto" w:fill="auto"/>
          </w:tcPr>
          <w:p w:rsidR="00BB4545" w:rsidRPr="001051D7" w:rsidRDefault="00BB4545" w:rsidP="00C35BC8">
            <w:r w:rsidRPr="001051D7">
              <w:t>objekta platība līdz 0,3 ha (ieskaitot), viens objekts</w:t>
            </w:r>
          </w:p>
        </w:tc>
        <w:tc>
          <w:tcPr>
            <w:tcW w:w="1560" w:type="dxa"/>
            <w:vAlign w:val="center"/>
          </w:tcPr>
          <w:p w:rsidR="00BB4545" w:rsidRPr="00B161C1" w:rsidRDefault="00BB4545" w:rsidP="00C35BC8">
            <w:pPr>
              <w:jc w:val="center"/>
              <w:rPr>
                <w:b/>
                <w:bCs/>
                <w:color w:val="000000"/>
              </w:rPr>
            </w:pPr>
            <w:r w:rsidRPr="00B161C1">
              <w:rPr>
                <w:b/>
                <w:bCs/>
                <w:color w:val="000000"/>
              </w:rPr>
              <w:t>25,00</w:t>
            </w:r>
          </w:p>
        </w:tc>
        <w:tc>
          <w:tcPr>
            <w:tcW w:w="1701" w:type="dxa"/>
            <w:vAlign w:val="center"/>
          </w:tcPr>
          <w:p w:rsidR="00BB4545" w:rsidRPr="00B161C1" w:rsidRDefault="00BB4545" w:rsidP="00C35BC8">
            <w:pPr>
              <w:jc w:val="center"/>
              <w:rPr>
                <w:b/>
                <w:bCs/>
                <w:color w:val="000000"/>
              </w:rPr>
            </w:pPr>
            <w:r w:rsidRPr="00B161C1">
              <w:rPr>
                <w:b/>
                <w:bCs/>
                <w:color w:val="000000"/>
              </w:rPr>
              <w:t>30,25</w:t>
            </w:r>
          </w:p>
        </w:tc>
      </w:tr>
      <w:tr w:rsidR="00BB4545" w:rsidRPr="001051D7" w:rsidTr="00C35BC8">
        <w:trPr>
          <w:jc w:val="center"/>
        </w:trPr>
        <w:tc>
          <w:tcPr>
            <w:tcW w:w="824" w:type="dxa"/>
            <w:shd w:val="clear" w:color="auto" w:fill="auto"/>
          </w:tcPr>
          <w:p w:rsidR="00BB4545" w:rsidRPr="001051D7" w:rsidRDefault="00BB4545" w:rsidP="00C35BC8">
            <w:pPr>
              <w:jc w:val="center"/>
            </w:pPr>
            <w:r w:rsidRPr="001051D7">
              <w:t>1.2.</w:t>
            </w:r>
          </w:p>
        </w:tc>
        <w:tc>
          <w:tcPr>
            <w:tcW w:w="4954" w:type="dxa"/>
            <w:shd w:val="clear" w:color="auto" w:fill="auto"/>
          </w:tcPr>
          <w:p w:rsidR="00BB4545" w:rsidRPr="001051D7" w:rsidRDefault="00BB4545" w:rsidP="00C35BC8">
            <w:r w:rsidRPr="001051D7">
              <w:t>objekta platība virs 0,3 ha līdz 0,5 ha (ieskaitot), viens objekts</w:t>
            </w:r>
          </w:p>
        </w:tc>
        <w:tc>
          <w:tcPr>
            <w:tcW w:w="1560" w:type="dxa"/>
            <w:vAlign w:val="center"/>
          </w:tcPr>
          <w:p w:rsidR="00BB4545" w:rsidRPr="00B161C1" w:rsidRDefault="00BB4545" w:rsidP="00C35BC8">
            <w:pPr>
              <w:jc w:val="center"/>
              <w:rPr>
                <w:b/>
                <w:bCs/>
                <w:color w:val="000000"/>
              </w:rPr>
            </w:pPr>
            <w:r w:rsidRPr="00B161C1">
              <w:rPr>
                <w:b/>
                <w:bCs/>
                <w:color w:val="000000"/>
              </w:rPr>
              <w:t>14,00</w:t>
            </w:r>
          </w:p>
        </w:tc>
        <w:tc>
          <w:tcPr>
            <w:tcW w:w="1701" w:type="dxa"/>
            <w:vAlign w:val="center"/>
          </w:tcPr>
          <w:p w:rsidR="00BB4545" w:rsidRPr="00B161C1" w:rsidRDefault="00BB4545" w:rsidP="00C35BC8">
            <w:pPr>
              <w:jc w:val="center"/>
              <w:rPr>
                <w:b/>
                <w:bCs/>
                <w:color w:val="000000"/>
              </w:rPr>
            </w:pPr>
            <w:r w:rsidRPr="00B161C1">
              <w:rPr>
                <w:b/>
                <w:bCs/>
                <w:color w:val="000000"/>
              </w:rPr>
              <w:t>16,94</w:t>
            </w:r>
          </w:p>
        </w:tc>
      </w:tr>
      <w:tr w:rsidR="00BB4545" w:rsidRPr="001051D7" w:rsidTr="00C35BC8">
        <w:trPr>
          <w:jc w:val="center"/>
        </w:trPr>
        <w:tc>
          <w:tcPr>
            <w:tcW w:w="824" w:type="dxa"/>
            <w:shd w:val="clear" w:color="auto" w:fill="auto"/>
          </w:tcPr>
          <w:p w:rsidR="00BB4545" w:rsidRPr="001051D7" w:rsidRDefault="00BB4545" w:rsidP="00C35BC8">
            <w:pPr>
              <w:jc w:val="center"/>
            </w:pPr>
            <w:r w:rsidRPr="001051D7">
              <w:t>1.3.</w:t>
            </w:r>
          </w:p>
        </w:tc>
        <w:tc>
          <w:tcPr>
            <w:tcW w:w="4954" w:type="dxa"/>
            <w:shd w:val="clear" w:color="auto" w:fill="auto"/>
          </w:tcPr>
          <w:p w:rsidR="00BB4545" w:rsidRPr="001051D7" w:rsidRDefault="00BB4545" w:rsidP="00C35BC8">
            <w:r w:rsidRPr="001051D7">
              <w:t>objekta platība virs 0,5 ha līdz 1,0 ha (ieskaitot), viens objekts</w:t>
            </w:r>
          </w:p>
        </w:tc>
        <w:tc>
          <w:tcPr>
            <w:tcW w:w="1560" w:type="dxa"/>
            <w:vAlign w:val="center"/>
          </w:tcPr>
          <w:p w:rsidR="00BB4545" w:rsidRPr="00B161C1" w:rsidRDefault="00BB4545" w:rsidP="00C35BC8">
            <w:pPr>
              <w:jc w:val="center"/>
              <w:rPr>
                <w:b/>
                <w:bCs/>
                <w:color w:val="000000"/>
              </w:rPr>
            </w:pPr>
            <w:r w:rsidRPr="00B161C1">
              <w:rPr>
                <w:b/>
                <w:bCs/>
                <w:color w:val="000000"/>
              </w:rPr>
              <w:t>14,00</w:t>
            </w:r>
          </w:p>
        </w:tc>
        <w:tc>
          <w:tcPr>
            <w:tcW w:w="1701" w:type="dxa"/>
            <w:vAlign w:val="center"/>
          </w:tcPr>
          <w:p w:rsidR="00BB4545" w:rsidRPr="00B161C1" w:rsidRDefault="00BB4545" w:rsidP="00C35BC8">
            <w:pPr>
              <w:jc w:val="center"/>
              <w:rPr>
                <w:b/>
                <w:bCs/>
                <w:color w:val="000000"/>
              </w:rPr>
            </w:pPr>
            <w:r w:rsidRPr="00B161C1">
              <w:rPr>
                <w:b/>
                <w:bCs/>
                <w:color w:val="000000"/>
              </w:rPr>
              <w:t>16,94</w:t>
            </w:r>
          </w:p>
        </w:tc>
      </w:tr>
      <w:tr w:rsidR="00BB4545" w:rsidRPr="001051D7" w:rsidTr="00C35BC8">
        <w:trPr>
          <w:jc w:val="center"/>
        </w:trPr>
        <w:tc>
          <w:tcPr>
            <w:tcW w:w="824" w:type="dxa"/>
            <w:shd w:val="clear" w:color="auto" w:fill="auto"/>
          </w:tcPr>
          <w:p w:rsidR="00BB4545" w:rsidRPr="001051D7" w:rsidRDefault="00BB4545" w:rsidP="00C35BC8">
            <w:pPr>
              <w:jc w:val="center"/>
            </w:pPr>
            <w:r w:rsidRPr="001051D7">
              <w:t>1.4.</w:t>
            </w:r>
          </w:p>
        </w:tc>
        <w:tc>
          <w:tcPr>
            <w:tcW w:w="4954" w:type="dxa"/>
            <w:shd w:val="clear" w:color="auto" w:fill="auto"/>
          </w:tcPr>
          <w:p w:rsidR="00BB4545" w:rsidRPr="001051D7" w:rsidRDefault="00BB4545" w:rsidP="00C35BC8">
            <w:r w:rsidRPr="001051D7">
              <w:t>objekta platība virs 1,0 ha, papildus par katru nākamo ha</w:t>
            </w:r>
          </w:p>
        </w:tc>
        <w:tc>
          <w:tcPr>
            <w:tcW w:w="1560" w:type="dxa"/>
            <w:vAlign w:val="center"/>
          </w:tcPr>
          <w:p w:rsidR="00BB4545" w:rsidRPr="00B161C1" w:rsidRDefault="00BB4545" w:rsidP="00C35BC8">
            <w:pPr>
              <w:jc w:val="center"/>
              <w:rPr>
                <w:b/>
                <w:bCs/>
                <w:color w:val="000000"/>
              </w:rPr>
            </w:pPr>
            <w:r w:rsidRPr="00B161C1">
              <w:rPr>
                <w:b/>
                <w:bCs/>
                <w:color w:val="000000"/>
              </w:rPr>
              <w:t>15,00</w:t>
            </w:r>
          </w:p>
        </w:tc>
        <w:tc>
          <w:tcPr>
            <w:tcW w:w="1701" w:type="dxa"/>
            <w:vAlign w:val="center"/>
          </w:tcPr>
          <w:p w:rsidR="00BB4545" w:rsidRPr="00B161C1" w:rsidRDefault="00BB4545" w:rsidP="00C35BC8">
            <w:pPr>
              <w:jc w:val="center"/>
              <w:rPr>
                <w:b/>
                <w:bCs/>
                <w:color w:val="000000"/>
              </w:rPr>
            </w:pPr>
            <w:r w:rsidRPr="00B161C1">
              <w:rPr>
                <w:b/>
                <w:bCs/>
                <w:color w:val="000000"/>
              </w:rPr>
              <w:t>18,15</w:t>
            </w:r>
          </w:p>
        </w:tc>
      </w:tr>
      <w:tr w:rsidR="00BB4545" w:rsidRPr="001051D7" w:rsidTr="00C35BC8">
        <w:trPr>
          <w:jc w:val="center"/>
        </w:trPr>
        <w:tc>
          <w:tcPr>
            <w:tcW w:w="824" w:type="dxa"/>
            <w:shd w:val="clear" w:color="auto" w:fill="auto"/>
          </w:tcPr>
          <w:p w:rsidR="00BB4545" w:rsidRPr="001051D7" w:rsidRDefault="00BB4545" w:rsidP="00BB4545">
            <w:pPr>
              <w:pStyle w:val="Sarakstarindkopa"/>
              <w:numPr>
                <w:ilvl w:val="0"/>
                <w:numId w:val="2"/>
              </w:numPr>
              <w:jc w:val="center"/>
            </w:pPr>
          </w:p>
        </w:tc>
        <w:tc>
          <w:tcPr>
            <w:tcW w:w="4954" w:type="dxa"/>
            <w:shd w:val="clear" w:color="auto" w:fill="auto"/>
          </w:tcPr>
          <w:p w:rsidR="00BB4545" w:rsidRPr="001051D7" w:rsidRDefault="00BB4545" w:rsidP="00C35BC8">
            <w:pPr>
              <w:rPr>
                <w:b/>
              </w:rPr>
            </w:pPr>
            <w:r w:rsidRPr="001051D7">
              <w:rPr>
                <w:b/>
              </w:rPr>
              <w:t xml:space="preserve">Inženierkomunikāciju </w:t>
            </w:r>
            <w:proofErr w:type="spellStart"/>
            <w:r w:rsidRPr="001051D7">
              <w:rPr>
                <w:b/>
              </w:rPr>
              <w:t>izpildmērījumu</w:t>
            </w:r>
            <w:proofErr w:type="spellEnd"/>
            <w:r w:rsidRPr="001051D7">
              <w:rPr>
                <w:b/>
              </w:rPr>
              <w:t xml:space="preserve"> plāna pieņemšana, pārbaude, ievadīšana datu planšetēs un reģistrēšana un nosūtīšana pašvaldībai</w:t>
            </w:r>
          </w:p>
        </w:tc>
        <w:tc>
          <w:tcPr>
            <w:tcW w:w="1560" w:type="dxa"/>
            <w:vAlign w:val="center"/>
          </w:tcPr>
          <w:p w:rsidR="00BB4545" w:rsidRPr="00B161C1" w:rsidRDefault="00BB4545" w:rsidP="00C35BC8">
            <w:pPr>
              <w:jc w:val="center"/>
              <w:rPr>
                <w:b/>
                <w:color w:val="000000"/>
              </w:rPr>
            </w:pPr>
          </w:p>
        </w:tc>
        <w:tc>
          <w:tcPr>
            <w:tcW w:w="1701" w:type="dxa"/>
            <w:vAlign w:val="center"/>
          </w:tcPr>
          <w:p w:rsidR="00BB4545" w:rsidRPr="00B161C1" w:rsidRDefault="00BB4545" w:rsidP="00C35BC8">
            <w:pPr>
              <w:jc w:val="center"/>
              <w:rPr>
                <w:color w:val="000000"/>
              </w:rPr>
            </w:pPr>
          </w:p>
        </w:tc>
      </w:tr>
      <w:tr w:rsidR="00BB4545" w:rsidRPr="001051D7" w:rsidTr="00C35BC8">
        <w:trPr>
          <w:jc w:val="center"/>
        </w:trPr>
        <w:tc>
          <w:tcPr>
            <w:tcW w:w="824" w:type="dxa"/>
            <w:shd w:val="clear" w:color="auto" w:fill="auto"/>
          </w:tcPr>
          <w:p w:rsidR="00BB4545" w:rsidRPr="001051D7" w:rsidRDefault="00BB4545" w:rsidP="00C35BC8">
            <w:pPr>
              <w:jc w:val="center"/>
            </w:pPr>
            <w:r w:rsidRPr="001051D7">
              <w:t>2.1.</w:t>
            </w:r>
          </w:p>
        </w:tc>
        <w:tc>
          <w:tcPr>
            <w:tcW w:w="4954" w:type="dxa"/>
            <w:shd w:val="clear" w:color="auto" w:fill="auto"/>
          </w:tcPr>
          <w:p w:rsidR="00BB4545" w:rsidRPr="001051D7" w:rsidRDefault="00BB4545" w:rsidP="00C35BC8">
            <w:r w:rsidRPr="001051D7">
              <w:t>trases garums līdz 30m</w:t>
            </w:r>
          </w:p>
        </w:tc>
        <w:tc>
          <w:tcPr>
            <w:tcW w:w="1560" w:type="dxa"/>
            <w:vAlign w:val="center"/>
          </w:tcPr>
          <w:p w:rsidR="00BB4545" w:rsidRPr="00B161C1" w:rsidRDefault="00BB4545" w:rsidP="00C35BC8">
            <w:pPr>
              <w:jc w:val="center"/>
              <w:rPr>
                <w:b/>
                <w:bCs/>
                <w:color w:val="000000"/>
              </w:rPr>
            </w:pPr>
            <w:r w:rsidRPr="00B161C1">
              <w:rPr>
                <w:b/>
                <w:bCs/>
                <w:color w:val="000000"/>
              </w:rPr>
              <w:t>5,00</w:t>
            </w:r>
          </w:p>
        </w:tc>
        <w:tc>
          <w:tcPr>
            <w:tcW w:w="1701" w:type="dxa"/>
            <w:vAlign w:val="center"/>
          </w:tcPr>
          <w:p w:rsidR="00BB4545" w:rsidRPr="00B161C1" w:rsidRDefault="00BB4545" w:rsidP="00C35BC8">
            <w:pPr>
              <w:jc w:val="center"/>
              <w:rPr>
                <w:b/>
                <w:bCs/>
                <w:color w:val="000000"/>
              </w:rPr>
            </w:pPr>
            <w:r w:rsidRPr="00B161C1">
              <w:rPr>
                <w:b/>
                <w:bCs/>
                <w:color w:val="000000"/>
              </w:rPr>
              <w:t>6,05</w:t>
            </w:r>
          </w:p>
        </w:tc>
      </w:tr>
      <w:tr w:rsidR="00BB4545" w:rsidRPr="001051D7" w:rsidTr="00C35BC8">
        <w:trPr>
          <w:jc w:val="center"/>
        </w:trPr>
        <w:tc>
          <w:tcPr>
            <w:tcW w:w="824" w:type="dxa"/>
            <w:shd w:val="clear" w:color="auto" w:fill="auto"/>
          </w:tcPr>
          <w:p w:rsidR="00BB4545" w:rsidRPr="001051D7" w:rsidRDefault="00BB4545" w:rsidP="00C35BC8">
            <w:pPr>
              <w:jc w:val="center"/>
            </w:pPr>
            <w:r w:rsidRPr="001051D7">
              <w:t>2.2.</w:t>
            </w:r>
          </w:p>
        </w:tc>
        <w:tc>
          <w:tcPr>
            <w:tcW w:w="4954" w:type="dxa"/>
            <w:shd w:val="clear" w:color="auto" w:fill="auto"/>
          </w:tcPr>
          <w:p w:rsidR="00BB4545" w:rsidRPr="001051D7" w:rsidRDefault="00BB4545" w:rsidP="00C35BC8">
            <w:r w:rsidRPr="001051D7">
              <w:t>trases garums no 30 līdz 300 m</w:t>
            </w:r>
          </w:p>
        </w:tc>
        <w:tc>
          <w:tcPr>
            <w:tcW w:w="1560" w:type="dxa"/>
            <w:vAlign w:val="center"/>
          </w:tcPr>
          <w:p w:rsidR="00BB4545" w:rsidRPr="00B161C1" w:rsidRDefault="00BB4545" w:rsidP="00C35BC8">
            <w:pPr>
              <w:jc w:val="center"/>
              <w:rPr>
                <w:b/>
                <w:bCs/>
                <w:color w:val="000000"/>
              </w:rPr>
            </w:pPr>
            <w:r w:rsidRPr="00B161C1">
              <w:rPr>
                <w:b/>
                <w:bCs/>
                <w:color w:val="000000"/>
              </w:rPr>
              <w:t>5,00</w:t>
            </w:r>
          </w:p>
        </w:tc>
        <w:tc>
          <w:tcPr>
            <w:tcW w:w="1701" w:type="dxa"/>
            <w:vAlign w:val="center"/>
          </w:tcPr>
          <w:p w:rsidR="00BB4545" w:rsidRPr="00B161C1" w:rsidRDefault="00BB4545" w:rsidP="00C35BC8">
            <w:pPr>
              <w:jc w:val="center"/>
              <w:rPr>
                <w:b/>
                <w:bCs/>
                <w:color w:val="000000"/>
              </w:rPr>
            </w:pPr>
            <w:r w:rsidRPr="00B161C1">
              <w:rPr>
                <w:b/>
                <w:bCs/>
                <w:color w:val="000000"/>
              </w:rPr>
              <w:t>6,05</w:t>
            </w:r>
          </w:p>
        </w:tc>
      </w:tr>
      <w:tr w:rsidR="00BB4545" w:rsidRPr="001051D7" w:rsidTr="00C35BC8">
        <w:trPr>
          <w:jc w:val="center"/>
        </w:trPr>
        <w:tc>
          <w:tcPr>
            <w:tcW w:w="824" w:type="dxa"/>
            <w:shd w:val="clear" w:color="auto" w:fill="auto"/>
          </w:tcPr>
          <w:p w:rsidR="00BB4545" w:rsidRPr="001051D7" w:rsidRDefault="00BB4545" w:rsidP="00C35BC8">
            <w:pPr>
              <w:jc w:val="center"/>
            </w:pPr>
            <w:r w:rsidRPr="001051D7">
              <w:t>2.3.</w:t>
            </w:r>
          </w:p>
        </w:tc>
        <w:tc>
          <w:tcPr>
            <w:tcW w:w="4954" w:type="dxa"/>
            <w:shd w:val="clear" w:color="auto" w:fill="auto"/>
          </w:tcPr>
          <w:p w:rsidR="00BB4545" w:rsidRPr="001051D7" w:rsidRDefault="00BB4545" w:rsidP="00C35BC8">
            <w:r w:rsidRPr="001051D7">
              <w:t>trases garums virs 300 m, papildus par katriem nākamajiem 100 m</w:t>
            </w:r>
          </w:p>
        </w:tc>
        <w:tc>
          <w:tcPr>
            <w:tcW w:w="1560" w:type="dxa"/>
            <w:vAlign w:val="center"/>
          </w:tcPr>
          <w:p w:rsidR="00BB4545" w:rsidRPr="00B161C1" w:rsidRDefault="00BB4545" w:rsidP="00C35BC8">
            <w:pPr>
              <w:jc w:val="center"/>
              <w:rPr>
                <w:b/>
                <w:bCs/>
                <w:color w:val="000000"/>
              </w:rPr>
            </w:pPr>
            <w:r w:rsidRPr="00B161C1">
              <w:rPr>
                <w:b/>
                <w:bCs/>
                <w:color w:val="000000"/>
              </w:rPr>
              <w:t>10,00</w:t>
            </w:r>
          </w:p>
          <w:p w:rsidR="00BB4545" w:rsidRPr="00B161C1" w:rsidRDefault="00BB4545" w:rsidP="00C35BC8">
            <w:pPr>
              <w:jc w:val="center"/>
              <w:rPr>
                <w:b/>
                <w:bCs/>
                <w:color w:val="000000"/>
              </w:rPr>
            </w:pPr>
          </w:p>
        </w:tc>
        <w:tc>
          <w:tcPr>
            <w:tcW w:w="1701" w:type="dxa"/>
            <w:vAlign w:val="center"/>
          </w:tcPr>
          <w:p w:rsidR="00BB4545" w:rsidRPr="00B161C1" w:rsidRDefault="00BB4545" w:rsidP="00C35BC8">
            <w:pPr>
              <w:jc w:val="center"/>
              <w:rPr>
                <w:b/>
                <w:bCs/>
                <w:color w:val="000000"/>
              </w:rPr>
            </w:pPr>
            <w:r w:rsidRPr="00B161C1">
              <w:rPr>
                <w:b/>
                <w:bCs/>
                <w:color w:val="000000"/>
              </w:rPr>
              <w:t>12,10</w:t>
            </w:r>
          </w:p>
        </w:tc>
      </w:tr>
      <w:tr w:rsidR="00BB4545" w:rsidRPr="001051D7" w:rsidTr="00C35BC8">
        <w:trPr>
          <w:jc w:val="center"/>
        </w:trPr>
        <w:tc>
          <w:tcPr>
            <w:tcW w:w="824" w:type="dxa"/>
            <w:shd w:val="clear" w:color="auto" w:fill="auto"/>
          </w:tcPr>
          <w:p w:rsidR="00BB4545" w:rsidRPr="001051D7" w:rsidRDefault="00BB4545" w:rsidP="00C35BC8">
            <w:pPr>
              <w:jc w:val="center"/>
            </w:pPr>
            <w:r w:rsidRPr="001051D7">
              <w:t>2.4.</w:t>
            </w:r>
          </w:p>
        </w:tc>
        <w:tc>
          <w:tcPr>
            <w:tcW w:w="4954" w:type="dxa"/>
            <w:shd w:val="clear" w:color="auto" w:fill="auto"/>
          </w:tcPr>
          <w:p w:rsidR="00BB4545" w:rsidRPr="001051D7" w:rsidRDefault="00BB4545" w:rsidP="00C35BC8">
            <w:r w:rsidRPr="001051D7">
              <w:t>objektam, kura platību mēra ha (viens objekts)</w:t>
            </w:r>
          </w:p>
        </w:tc>
        <w:tc>
          <w:tcPr>
            <w:tcW w:w="1560" w:type="dxa"/>
            <w:vAlign w:val="center"/>
          </w:tcPr>
          <w:p w:rsidR="00BB4545" w:rsidRPr="00B161C1" w:rsidRDefault="00BB4545" w:rsidP="00C35BC8">
            <w:pPr>
              <w:jc w:val="center"/>
              <w:rPr>
                <w:b/>
                <w:bCs/>
                <w:color w:val="000000"/>
              </w:rPr>
            </w:pPr>
            <w:r w:rsidRPr="00B161C1">
              <w:rPr>
                <w:b/>
                <w:bCs/>
                <w:color w:val="000000"/>
              </w:rPr>
              <w:t>5,00</w:t>
            </w:r>
          </w:p>
        </w:tc>
        <w:tc>
          <w:tcPr>
            <w:tcW w:w="1701" w:type="dxa"/>
            <w:vAlign w:val="center"/>
          </w:tcPr>
          <w:p w:rsidR="00BB4545" w:rsidRPr="00B161C1" w:rsidRDefault="00BB4545" w:rsidP="00C35BC8">
            <w:pPr>
              <w:jc w:val="center"/>
              <w:rPr>
                <w:b/>
                <w:bCs/>
                <w:color w:val="000000"/>
              </w:rPr>
            </w:pPr>
            <w:r w:rsidRPr="00B161C1">
              <w:rPr>
                <w:b/>
                <w:bCs/>
                <w:color w:val="000000"/>
              </w:rPr>
              <w:t>6,05</w:t>
            </w:r>
          </w:p>
        </w:tc>
      </w:tr>
      <w:tr w:rsidR="00BB4545" w:rsidRPr="001051D7" w:rsidTr="00C35BC8">
        <w:trPr>
          <w:jc w:val="center"/>
        </w:trPr>
        <w:tc>
          <w:tcPr>
            <w:tcW w:w="824" w:type="dxa"/>
            <w:shd w:val="clear" w:color="auto" w:fill="auto"/>
          </w:tcPr>
          <w:p w:rsidR="00BB4545" w:rsidRPr="001051D7" w:rsidRDefault="00BB4545" w:rsidP="00BB4545">
            <w:pPr>
              <w:pStyle w:val="Sarakstarindkopa"/>
              <w:numPr>
                <w:ilvl w:val="0"/>
                <w:numId w:val="2"/>
              </w:numPr>
              <w:jc w:val="center"/>
            </w:pPr>
          </w:p>
        </w:tc>
        <w:tc>
          <w:tcPr>
            <w:tcW w:w="4954" w:type="dxa"/>
            <w:shd w:val="clear" w:color="auto" w:fill="auto"/>
          </w:tcPr>
          <w:p w:rsidR="00BB4545" w:rsidRPr="001051D7" w:rsidRDefault="00BB4545" w:rsidP="00C35BC8">
            <w:pPr>
              <w:rPr>
                <w:b/>
              </w:rPr>
            </w:pPr>
            <w:r w:rsidRPr="001051D7">
              <w:rPr>
                <w:b/>
              </w:rPr>
              <w:t xml:space="preserve">Galveno </w:t>
            </w:r>
            <w:proofErr w:type="spellStart"/>
            <w:r w:rsidRPr="001051D7">
              <w:rPr>
                <w:b/>
              </w:rPr>
              <w:t>būvasu</w:t>
            </w:r>
            <w:proofErr w:type="spellEnd"/>
            <w:r w:rsidRPr="001051D7">
              <w:rPr>
                <w:b/>
              </w:rPr>
              <w:t xml:space="preserve"> reģistrēšana datu bāzē un nosūtīšana pašvaldībai</w:t>
            </w:r>
          </w:p>
        </w:tc>
        <w:tc>
          <w:tcPr>
            <w:tcW w:w="1560" w:type="dxa"/>
            <w:vAlign w:val="center"/>
          </w:tcPr>
          <w:p w:rsidR="00BB4545" w:rsidRPr="00B161C1" w:rsidRDefault="00BB4545" w:rsidP="00C35BC8">
            <w:pPr>
              <w:jc w:val="center"/>
              <w:rPr>
                <w:color w:val="000000"/>
              </w:rPr>
            </w:pPr>
          </w:p>
        </w:tc>
        <w:tc>
          <w:tcPr>
            <w:tcW w:w="1701" w:type="dxa"/>
            <w:vAlign w:val="center"/>
          </w:tcPr>
          <w:p w:rsidR="00BB4545" w:rsidRPr="00B161C1" w:rsidRDefault="00BB4545" w:rsidP="00C35BC8">
            <w:pPr>
              <w:jc w:val="center"/>
              <w:rPr>
                <w:color w:val="000000"/>
              </w:rPr>
            </w:pPr>
          </w:p>
        </w:tc>
      </w:tr>
      <w:tr w:rsidR="00BB4545" w:rsidRPr="001051D7" w:rsidTr="00C35BC8">
        <w:trPr>
          <w:jc w:val="center"/>
        </w:trPr>
        <w:tc>
          <w:tcPr>
            <w:tcW w:w="824" w:type="dxa"/>
            <w:shd w:val="clear" w:color="auto" w:fill="auto"/>
          </w:tcPr>
          <w:p w:rsidR="00BB4545" w:rsidRPr="001051D7" w:rsidRDefault="00BB4545" w:rsidP="00C35BC8">
            <w:pPr>
              <w:jc w:val="center"/>
            </w:pPr>
            <w:r w:rsidRPr="001051D7">
              <w:t>3.1.</w:t>
            </w:r>
          </w:p>
        </w:tc>
        <w:tc>
          <w:tcPr>
            <w:tcW w:w="4954" w:type="dxa"/>
            <w:shd w:val="clear" w:color="auto" w:fill="auto"/>
          </w:tcPr>
          <w:p w:rsidR="00BB4545" w:rsidRPr="001051D7" w:rsidRDefault="00BB4545" w:rsidP="00C35BC8">
            <w:r w:rsidRPr="001051D7">
              <w:t>viens objekts</w:t>
            </w:r>
          </w:p>
        </w:tc>
        <w:tc>
          <w:tcPr>
            <w:tcW w:w="1560" w:type="dxa"/>
            <w:vAlign w:val="center"/>
          </w:tcPr>
          <w:p w:rsidR="00BB4545" w:rsidRPr="00B161C1" w:rsidRDefault="00BB4545" w:rsidP="00C35BC8">
            <w:pPr>
              <w:jc w:val="center"/>
              <w:rPr>
                <w:b/>
                <w:bCs/>
                <w:color w:val="000000"/>
              </w:rPr>
            </w:pPr>
            <w:r w:rsidRPr="00B161C1">
              <w:rPr>
                <w:b/>
                <w:bCs/>
                <w:color w:val="000000"/>
              </w:rPr>
              <w:t>3,00</w:t>
            </w:r>
          </w:p>
        </w:tc>
        <w:tc>
          <w:tcPr>
            <w:tcW w:w="1701" w:type="dxa"/>
            <w:vAlign w:val="center"/>
          </w:tcPr>
          <w:p w:rsidR="00BB4545" w:rsidRPr="00B161C1" w:rsidRDefault="00BB4545" w:rsidP="00C35BC8">
            <w:pPr>
              <w:jc w:val="center"/>
              <w:rPr>
                <w:b/>
                <w:bCs/>
                <w:color w:val="000000"/>
              </w:rPr>
            </w:pPr>
            <w:r w:rsidRPr="00B161C1">
              <w:rPr>
                <w:b/>
                <w:bCs/>
                <w:color w:val="000000"/>
              </w:rPr>
              <w:t>3,63</w:t>
            </w:r>
          </w:p>
        </w:tc>
      </w:tr>
      <w:tr w:rsidR="00BB4545" w:rsidRPr="001051D7" w:rsidTr="00C35BC8">
        <w:trPr>
          <w:jc w:val="center"/>
        </w:trPr>
        <w:tc>
          <w:tcPr>
            <w:tcW w:w="824" w:type="dxa"/>
            <w:shd w:val="clear" w:color="auto" w:fill="auto"/>
          </w:tcPr>
          <w:p w:rsidR="00BB4545" w:rsidRPr="001051D7" w:rsidRDefault="00BB4545" w:rsidP="00BB4545">
            <w:pPr>
              <w:pStyle w:val="Sarakstarindkopa"/>
              <w:numPr>
                <w:ilvl w:val="0"/>
                <w:numId w:val="2"/>
              </w:numPr>
              <w:jc w:val="center"/>
            </w:pPr>
          </w:p>
        </w:tc>
        <w:tc>
          <w:tcPr>
            <w:tcW w:w="4954" w:type="dxa"/>
            <w:shd w:val="clear" w:color="auto" w:fill="auto"/>
          </w:tcPr>
          <w:p w:rsidR="00BB4545" w:rsidRPr="001051D7" w:rsidRDefault="00BB4545" w:rsidP="00C35BC8">
            <w:pPr>
              <w:rPr>
                <w:b/>
              </w:rPr>
            </w:pPr>
            <w:r w:rsidRPr="001051D7">
              <w:rPr>
                <w:b/>
              </w:rPr>
              <w:t>Vienas būves novietnes pārbaudes ienešana datu bāzē un nosūtīšana pašvaldībai</w:t>
            </w:r>
          </w:p>
        </w:tc>
        <w:tc>
          <w:tcPr>
            <w:tcW w:w="1560" w:type="dxa"/>
            <w:vAlign w:val="center"/>
          </w:tcPr>
          <w:p w:rsidR="00BB4545" w:rsidRPr="00B161C1" w:rsidRDefault="00BB4545" w:rsidP="00C35BC8">
            <w:pPr>
              <w:jc w:val="center"/>
              <w:rPr>
                <w:color w:val="000000"/>
              </w:rPr>
            </w:pPr>
          </w:p>
        </w:tc>
        <w:tc>
          <w:tcPr>
            <w:tcW w:w="1701" w:type="dxa"/>
            <w:vAlign w:val="center"/>
          </w:tcPr>
          <w:p w:rsidR="00BB4545" w:rsidRPr="00B161C1" w:rsidRDefault="00BB4545" w:rsidP="00C35BC8">
            <w:pPr>
              <w:jc w:val="center"/>
              <w:rPr>
                <w:color w:val="000000"/>
              </w:rPr>
            </w:pPr>
          </w:p>
        </w:tc>
      </w:tr>
      <w:tr w:rsidR="00BB4545" w:rsidRPr="001051D7" w:rsidTr="00C35BC8">
        <w:trPr>
          <w:jc w:val="center"/>
        </w:trPr>
        <w:tc>
          <w:tcPr>
            <w:tcW w:w="824" w:type="dxa"/>
            <w:shd w:val="clear" w:color="auto" w:fill="auto"/>
          </w:tcPr>
          <w:p w:rsidR="00BB4545" w:rsidRPr="001051D7" w:rsidRDefault="00BB4545" w:rsidP="00C35BC8">
            <w:pPr>
              <w:jc w:val="center"/>
            </w:pPr>
            <w:r w:rsidRPr="001051D7">
              <w:t xml:space="preserve">4.1. </w:t>
            </w:r>
          </w:p>
        </w:tc>
        <w:tc>
          <w:tcPr>
            <w:tcW w:w="4954" w:type="dxa"/>
            <w:shd w:val="clear" w:color="auto" w:fill="auto"/>
          </w:tcPr>
          <w:p w:rsidR="00BB4545" w:rsidRPr="001051D7" w:rsidRDefault="00BB4545" w:rsidP="00C35BC8">
            <w:r w:rsidRPr="001051D7">
              <w:t>viens objekts</w:t>
            </w:r>
          </w:p>
        </w:tc>
        <w:tc>
          <w:tcPr>
            <w:tcW w:w="1560" w:type="dxa"/>
            <w:vAlign w:val="center"/>
          </w:tcPr>
          <w:p w:rsidR="00BB4545" w:rsidRPr="00B161C1" w:rsidRDefault="00BB4545" w:rsidP="00C35BC8">
            <w:pPr>
              <w:jc w:val="center"/>
              <w:rPr>
                <w:b/>
                <w:bCs/>
                <w:color w:val="000000"/>
              </w:rPr>
            </w:pPr>
            <w:r w:rsidRPr="00B161C1">
              <w:rPr>
                <w:b/>
                <w:bCs/>
                <w:color w:val="000000"/>
              </w:rPr>
              <w:t>3,00</w:t>
            </w:r>
          </w:p>
        </w:tc>
        <w:tc>
          <w:tcPr>
            <w:tcW w:w="1701" w:type="dxa"/>
            <w:vAlign w:val="center"/>
          </w:tcPr>
          <w:p w:rsidR="00BB4545" w:rsidRPr="00B161C1" w:rsidRDefault="00BB4545" w:rsidP="00C35BC8">
            <w:pPr>
              <w:jc w:val="center"/>
              <w:rPr>
                <w:b/>
                <w:bCs/>
                <w:color w:val="000000"/>
              </w:rPr>
            </w:pPr>
            <w:r w:rsidRPr="00B161C1">
              <w:rPr>
                <w:b/>
                <w:bCs/>
                <w:color w:val="000000"/>
              </w:rPr>
              <w:t>3,63</w:t>
            </w:r>
          </w:p>
        </w:tc>
      </w:tr>
      <w:tr w:rsidR="00BB4545" w:rsidRPr="001051D7" w:rsidTr="00C35BC8">
        <w:trPr>
          <w:jc w:val="center"/>
        </w:trPr>
        <w:tc>
          <w:tcPr>
            <w:tcW w:w="824" w:type="dxa"/>
            <w:shd w:val="clear" w:color="auto" w:fill="auto"/>
          </w:tcPr>
          <w:p w:rsidR="00BB4545" w:rsidRPr="001051D7" w:rsidRDefault="00BB4545" w:rsidP="00BB4545">
            <w:pPr>
              <w:pStyle w:val="Sarakstarindkopa"/>
              <w:numPr>
                <w:ilvl w:val="0"/>
                <w:numId w:val="2"/>
              </w:numPr>
              <w:jc w:val="center"/>
            </w:pPr>
          </w:p>
        </w:tc>
        <w:tc>
          <w:tcPr>
            <w:tcW w:w="4954" w:type="dxa"/>
            <w:shd w:val="clear" w:color="auto" w:fill="auto"/>
          </w:tcPr>
          <w:p w:rsidR="00BB4545" w:rsidRPr="001051D7" w:rsidRDefault="00BB4545" w:rsidP="00C35BC8">
            <w:pPr>
              <w:rPr>
                <w:b/>
              </w:rPr>
            </w:pPr>
            <w:r w:rsidRPr="001051D7">
              <w:rPr>
                <w:b/>
              </w:rPr>
              <w:t>Detālplānojuma vai zemes ierīcības projekta reģistrācija</w:t>
            </w:r>
          </w:p>
        </w:tc>
        <w:tc>
          <w:tcPr>
            <w:tcW w:w="1560" w:type="dxa"/>
            <w:vAlign w:val="center"/>
          </w:tcPr>
          <w:p w:rsidR="00BB4545" w:rsidRPr="00B161C1" w:rsidRDefault="00BB4545" w:rsidP="00C35BC8">
            <w:pPr>
              <w:jc w:val="center"/>
              <w:rPr>
                <w:color w:val="000000"/>
              </w:rPr>
            </w:pPr>
          </w:p>
        </w:tc>
        <w:tc>
          <w:tcPr>
            <w:tcW w:w="1701" w:type="dxa"/>
            <w:vAlign w:val="center"/>
          </w:tcPr>
          <w:p w:rsidR="00BB4545" w:rsidRPr="00B161C1" w:rsidRDefault="00BB4545" w:rsidP="00C35BC8">
            <w:pPr>
              <w:jc w:val="center"/>
              <w:rPr>
                <w:color w:val="000000"/>
              </w:rPr>
            </w:pPr>
          </w:p>
        </w:tc>
      </w:tr>
      <w:tr w:rsidR="00BB4545" w:rsidRPr="001051D7" w:rsidTr="00C35BC8">
        <w:trPr>
          <w:jc w:val="center"/>
        </w:trPr>
        <w:tc>
          <w:tcPr>
            <w:tcW w:w="824" w:type="dxa"/>
            <w:shd w:val="clear" w:color="auto" w:fill="auto"/>
          </w:tcPr>
          <w:p w:rsidR="00BB4545" w:rsidRPr="001051D7" w:rsidRDefault="00BB4545" w:rsidP="00C35BC8">
            <w:pPr>
              <w:jc w:val="center"/>
            </w:pPr>
            <w:r w:rsidRPr="001051D7">
              <w:t>5.1.</w:t>
            </w:r>
          </w:p>
        </w:tc>
        <w:tc>
          <w:tcPr>
            <w:tcW w:w="4954" w:type="dxa"/>
            <w:shd w:val="clear" w:color="auto" w:fill="auto"/>
          </w:tcPr>
          <w:p w:rsidR="00BB4545" w:rsidRPr="001051D7" w:rsidRDefault="00BB4545" w:rsidP="00C35BC8">
            <w:r w:rsidRPr="001051D7">
              <w:t>viens objekts (plānojums vai projekts)</w:t>
            </w:r>
          </w:p>
        </w:tc>
        <w:tc>
          <w:tcPr>
            <w:tcW w:w="1560" w:type="dxa"/>
            <w:vAlign w:val="center"/>
          </w:tcPr>
          <w:p w:rsidR="00BB4545" w:rsidRPr="00B161C1" w:rsidRDefault="00BB4545" w:rsidP="00C35BC8">
            <w:pPr>
              <w:jc w:val="center"/>
              <w:rPr>
                <w:b/>
                <w:bCs/>
                <w:color w:val="000000"/>
              </w:rPr>
            </w:pPr>
            <w:r w:rsidRPr="00B161C1">
              <w:rPr>
                <w:b/>
                <w:bCs/>
                <w:color w:val="000000"/>
              </w:rPr>
              <w:t>15,00</w:t>
            </w:r>
          </w:p>
        </w:tc>
        <w:tc>
          <w:tcPr>
            <w:tcW w:w="1701" w:type="dxa"/>
            <w:vAlign w:val="center"/>
          </w:tcPr>
          <w:p w:rsidR="00BB4545" w:rsidRPr="00B161C1" w:rsidRDefault="00BB4545" w:rsidP="00C35BC8">
            <w:pPr>
              <w:jc w:val="center"/>
              <w:rPr>
                <w:b/>
                <w:bCs/>
                <w:color w:val="000000"/>
              </w:rPr>
            </w:pPr>
            <w:r w:rsidRPr="00B161C1">
              <w:rPr>
                <w:b/>
                <w:bCs/>
                <w:color w:val="000000"/>
              </w:rPr>
              <w:t>18,15</w:t>
            </w:r>
          </w:p>
        </w:tc>
      </w:tr>
      <w:tr w:rsidR="00BB4545" w:rsidRPr="001051D7" w:rsidTr="00C35BC8">
        <w:trPr>
          <w:jc w:val="center"/>
        </w:trPr>
        <w:tc>
          <w:tcPr>
            <w:tcW w:w="824" w:type="dxa"/>
            <w:shd w:val="clear" w:color="auto" w:fill="auto"/>
          </w:tcPr>
          <w:p w:rsidR="00BB4545" w:rsidRPr="001051D7" w:rsidRDefault="00BB4545" w:rsidP="00BB4545">
            <w:pPr>
              <w:pStyle w:val="Sarakstarindkopa"/>
              <w:numPr>
                <w:ilvl w:val="0"/>
                <w:numId w:val="2"/>
              </w:numPr>
              <w:jc w:val="center"/>
            </w:pPr>
          </w:p>
        </w:tc>
        <w:tc>
          <w:tcPr>
            <w:tcW w:w="4954" w:type="dxa"/>
            <w:shd w:val="clear" w:color="auto" w:fill="auto"/>
          </w:tcPr>
          <w:p w:rsidR="00BB4545" w:rsidRPr="001051D7" w:rsidRDefault="00BB4545" w:rsidP="00C35BC8">
            <w:pPr>
              <w:rPr>
                <w:b/>
              </w:rPr>
            </w:pPr>
            <w:r w:rsidRPr="001051D7">
              <w:rPr>
                <w:b/>
              </w:rPr>
              <w:t xml:space="preserve">Inženiertīklu pārskata shēmas noformēšana un nosūtīšana pasūtītājam  (pārskata shēma izmantojama tikai reklāmas objektu novietnei bez inženiertīklu </w:t>
            </w:r>
            <w:proofErr w:type="spellStart"/>
            <w:r w:rsidRPr="001051D7">
              <w:rPr>
                <w:b/>
              </w:rPr>
              <w:t>pieslēgumiem</w:t>
            </w:r>
            <w:proofErr w:type="spellEnd"/>
            <w:r w:rsidRPr="001051D7">
              <w:rPr>
                <w:b/>
              </w:rPr>
              <w:t xml:space="preserve"> un </w:t>
            </w:r>
            <w:r w:rsidRPr="001051D7">
              <w:rPr>
                <w:b/>
              </w:rPr>
              <w:lastRenderedPageBreak/>
              <w:t>vienkāršoto inženiertīklu pievadu un iekšējo inženiertīklu izbūvei):</w:t>
            </w:r>
          </w:p>
        </w:tc>
        <w:tc>
          <w:tcPr>
            <w:tcW w:w="1560" w:type="dxa"/>
            <w:vAlign w:val="center"/>
          </w:tcPr>
          <w:p w:rsidR="00BB4545" w:rsidRPr="00B161C1" w:rsidRDefault="00BB4545" w:rsidP="00C35BC8">
            <w:pPr>
              <w:jc w:val="center"/>
              <w:rPr>
                <w:color w:val="000000"/>
              </w:rPr>
            </w:pPr>
          </w:p>
        </w:tc>
        <w:tc>
          <w:tcPr>
            <w:tcW w:w="1701" w:type="dxa"/>
            <w:vAlign w:val="center"/>
          </w:tcPr>
          <w:p w:rsidR="00BB4545" w:rsidRPr="00B161C1" w:rsidRDefault="00BB4545" w:rsidP="00C35BC8">
            <w:pPr>
              <w:jc w:val="center"/>
              <w:rPr>
                <w:color w:val="000000"/>
              </w:rPr>
            </w:pPr>
          </w:p>
        </w:tc>
      </w:tr>
      <w:tr w:rsidR="00BB4545" w:rsidRPr="001051D7" w:rsidTr="00C35BC8">
        <w:trPr>
          <w:jc w:val="center"/>
        </w:trPr>
        <w:tc>
          <w:tcPr>
            <w:tcW w:w="824" w:type="dxa"/>
            <w:shd w:val="clear" w:color="auto" w:fill="auto"/>
          </w:tcPr>
          <w:p w:rsidR="00BB4545" w:rsidRPr="001051D7" w:rsidRDefault="00BB4545" w:rsidP="00C35BC8">
            <w:pPr>
              <w:jc w:val="center"/>
            </w:pPr>
            <w:r w:rsidRPr="001051D7">
              <w:t>6.1.</w:t>
            </w:r>
          </w:p>
        </w:tc>
        <w:tc>
          <w:tcPr>
            <w:tcW w:w="4954" w:type="dxa"/>
            <w:shd w:val="clear" w:color="auto" w:fill="auto"/>
          </w:tcPr>
          <w:p w:rsidR="00BB4545" w:rsidRPr="001051D7" w:rsidRDefault="00BB4545" w:rsidP="00C35BC8">
            <w:r w:rsidRPr="001051D7">
              <w:t>objektam ar platību līdz 1,0 ha (ieskaitot), viens objekts</w:t>
            </w:r>
          </w:p>
        </w:tc>
        <w:tc>
          <w:tcPr>
            <w:tcW w:w="1560" w:type="dxa"/>
            <w:vAlign w:val="center"/>
          </w:tcPr>
          <w:p w:rsidR="00BB4545" w:rsidRPr="00B161C1" w:rsidRDefault="00BB4545" w:rsidP="00C35BC8">
            <w:pPr>
              <w:jc w:val="center"/>
              <w:rPr>
                <w:b/>
                <w:bCs/>
                <w:color w:val="000000"/>
              </w:rPr>
            </w:pPr>
            <w:r w:rsidRPr="00B161C1">
              <w:rPr>
                <w:b/>
                <w:bCs/>
                <w:color w:val="000000"/>
              </w:rPr>
              <w:t>0,00</w:t>
            </w:r>
          </w:p>
        </w:tc>
        <w:tc>
          <w:tcPr>
            <w:tcW w:w="1701" w:type="dxa"/>
            <w:vAlign w:val="center"/>
          </w:tcPr>
          <w:p w:rsidR="00BB4545" w:rsidRPr="00B161C1" w:rsidRDefault="00BB4545" w:rsidP="00C35BC8">
            <w:pPr>
              <w:jc w:val="center"/>
              <w:rPr>
                <w:b/>
                <w:bCs/>
                <w:color w:val="000000"/>
              </w:rPr>
            </w:pPr>
            <w:r w:rsidRPr="00B161C1">
              <w:rPr>
                <w:b/>
                <w:bCs/>
                <w:color w:val="000000"/>
              </w:rPr>
              <w:t>0,00</w:t>
            </w:r>
          </w:p>
        </w:tc>
      </w:tr>
      <w:tr w:rsidR="00BB4545" w:rsidRPr="001051D7" w:rsidTr="00C35BC8">
        <w:trPr>
          <w:jc w:val="center"/>
        </w:trPr>
        <w:tc>
          <w:tcPr>
            <w:tcW w:w="824" w:type="dxa"/>
            <w:shd w:val="clear" w:color="auto" w:fill="auto"/>
          </w:tcPr>
          <w:p w:rsidR="00BB4545" w:rsidRPr="001051D7" w:rsidRDefault="00BB4545" w:rsidP="00BB4545">
            <w:pPr>
              <w:pStyle w:val="Sarakstarindkopa"/>
              <w:numPr>
                <w:ilvl w:val="0"/>
                <w:numId w:val="2"/>
              </w:numPr>
              <w:jc w:val="center"/>
            </w:pPr>
          </w:p>
        </w:tc>
        <w:tc>
          <w:tcPr>
            <w:tcW w:w="4954" w:type="dxa"/>
            <w:shd w:val="clear" w:color="auto" w:fill="auto"/>
          </w:tcPr>
          <w:p w:rsidR="00BB4545" w:rsidRPr="001051D7" w:rsidRDefault="00BB4545" w:rsidP="00C35BC8">
            <w:pPr>
              <w:rPr>
                <w:b/>
              </w:rPr>
            </w:pPr>
            <w:r w:rsidRPr="001051D7">
              <w:rPr>
                <w:b/>
              </w:rPr>
              <w:t xml:space="preserve">Informācijas izsniegšana zemes vienības </w:t>
            </w:r>
            <w:proofErr w:type="spellStart"/>
            <w:r w:rsidRPr="001051D7">
              <w:rPr>
                <w:b/>
              </w:rPr>
              <w:t>robežplānu</w:t>
            </w:r>
            <w:proofErr w:type="spellEnd"/>
            <w:r w:rsidRPr="001051D7">
              <w:rPr>
                <w:b/>
              </w:rPr>
              <w:t xml:space="preserve"> sagatavošanai vai citu mērniecības darbu veikšanai, kas nav minēti iepriekš minētajos punktos, vienā zemes vienībā:</w:t>
            </w:r>
          </w:p>
        </w:tc>
        <w:tc>
          <w:tcPr>
            <w:tcW w:w="1560" w:type="dxa"/>
            <w:vAlign w:val="center"/>
          </w:tcPr>
          <w:p w:rsidR="00BB4545" w:rsidRPr="00B161C1" w:rsidRDefault="00BB4545" w:rsidP="00C35BC8">
            <w:pPr>
              <w:jc w:val="center"/>
              <w:rPr>
                <w:color w:val="000000"/>
              </w:rPr>
            </w:pPr>
          </w:p>
        </w:tc>
        <w:tc>
          <w:tcPr>
            <w:tcW w:w="1701" w:type="dxa"/>
            <w:vAlign w:val="center"/>
          </w:tcPr>
          <w:p w:rsidR="00BB4545" w:rsidRPr="00B161C1" w:rsidRDefault="00BB4545" w:rsidP="00C35BC8">
            <w:pPr>
              <w:jc w:val="center"/>
              <w:rPr>
                <w:color w:val="000000"/>
              </w:rPr>
            </w:pPr>
          </w:p>
        </w:tc>
      </w:tr>
      <w:tr w:rsidR="00BB4545" w:rsidRPr="001051D7" w:rsidTr="00C35BC8">
        <w:trPr>
          <w:jc w:val="center"/>
        </w:trPr>
        <w:tc>
          <w:tcPr>
            <w:tcW w:w="824" w:type="dxa"/>
            <w:shd w:val="clear" w:color="auto" w:fill="auto"/>
          </w:tcPr>
          <w:p w:rsidR="00BB4545" w:rsidRPr="001051D7" w:rsidRDefault="00BB4545" w:rsidP="00C35BC8">
            <w:pPr>
              <w:jc w:val="center"/>
            </w:pPr>
            <w:r w:rsidRPr="001051D7">
              <w:t>7.1.</w:t>
            </w:r>
          </w:p>
        </w:tc>
        <w:tc>
          <w:tcPr>
            <w:tcW w:w="4954" w:type="dxa"/>
            <w:shd w:val="clear" w:color="auto" w:fill="auto"/>
          </w:tcPr>
          <w:p w:rsidR="00BB4545" w:rsidRPr="001051D7" w:rsidRDefault="00BB4545" w:rsidP="00C35BC8">
            <w:r w:rsidRPr="001051D7">
              <w:t>viena zemes vienība</w:t>
            </w:r>
          </w:p>
        </w:tc>
        <w:tc>
          <w:tcPr>
            <w:tcW w:w="1560" w:type="dxa"/>
            <w:vAlign w:val="center"/>
          </w:tcPr>
          <w:p w:rsidR="00BB4545" w:rsidRPr="00B161C1" w:rsidRDefault="00BB4545" w:rsidP="00C35BC8">
            <w:pPr>
              <w:jc w:val="center"/>
              <w:rPr>
                <w:b/>
                <w:bCs/>
                <w:color w:val="000000"/>
              </w:rPr>
            </w:pPr>
            <w:r w:rsidRPr="00B161C1">
              <w:rPr>
                <w:b/>
                <w:bCs/>
                <w:color w:val="000000"/>
              </w:rPr>
              <w:t>0,00</w:t>
            </w:r>
          </w:p>
        </w:tc>
        <w:tc>
          <w:tcPr>
            <w:tcW w:w="1701" w:type="dxa"/>
            <w:vAlign w:val="center"/>
          </w:tcPr>
          <w:p w:rsidR="00BB4545" w:rsidRPr="00B161C1" w:rsidRDefault="00BB4545" w:rsidP="00C35BC8">
            <w:pPr>
              <w:jc w:val="center"/>
              <w:rPr>
                <w:b/>
                <w:bCs/>
                <w:color w:val="000000"/>
              </w:rPr>
            </w:pPr>
            <w:r w:rsidRPr="00B161C1">
              <w:rPr>
                <w:b/>
                <w:bCs/>
                <w:color w:val="000000"/>
              </w:rPr>
              <w:t>0,00</w:t>
            </w:r>
          </w:p>
        </w:tc>
      </w:tr>
      <w:tr w:rsidR="00BB4545" w:rsidRPr="001051D7" w:rsidTr="00C35BC8">
        <w:trPr>
          <w:jc w:val="center"/>
        </w:trPr>
        <w:tc>
          <w:tcPr>
            <w:tcW w:w="824" w:type="dxa"/>
            <w:shd w:val="clear" w:color="auto" w:fill="auto"/>
          </w:tcPr>
          <w:p w:rsidR="00BB4545" w:rsidRPr="001051D7" w:rsidRDefault="00BB4545" w:rsidP="00BB4545">
            <w:pPr>
              <w:pStyle w:val="Sarakstarindkopa"/>
              <w:numPr>
                <w:ilvl w:val="0"/>
                <w:numId w:val="2"/>
              </w:numPr>
              <w:jc w:val="center"/>
            </w:pPr>
          </w:p>
        </w:tc>
        <w:tc>
          <w:tcPr>
            <w:tcW w:w="4954" w:type="dxa"/>
            <w:shd w:val="clear" w:color="auto" w:fill="auto"/>
          </w:tcPr>
          <w:p w:rsidR="00BB4545" w:rsidRPr="001051D7" w:rsidRDefault="00BB4545" w:rsidP="00C35BC8">
            <w:pPr>
              <w:rPr>
                <w:b/>
              </w:rPr>
            </w:pPr>
            <w:r w:rsidRPr="001051D7">
              <w:rPr>
                <w:b/>
              </w:rPr>
              <w:t xml:space="preserve">Topogrāfiskās informācijas sagatavošana un izsniegšana digitālā formātā </w:t>
            </w:r>
          </w:p>
        </w:tc>
        <w:tc>
          <w:tcPr>
            <w:tcW w:w="1560" w:type="dxa"/>
            <w:vAlign w:val="center"/>
          </w:tcPr>
          <w:p w:rsidR="00BB4545" w:rsidRPr="00B161C1" w:rsidRDefault="00BB4545" w:rsidP="00C35BC8">
            <w:pPr>
              <w:jc w:val="center"/>
              <w:rPr>
                <w:color w:val="000000"/>
              </w:rPr>
            </w:pPr>
          </w:p>
        </w:tc>
        <w:tc>
          <w:tcPr>
            <w:tcW w:w="1701" w:type="dxa"/>
            <w:vAlign w:val="center"/>
          </w:tcPr>
          <w:p w:rsidR="00BB4545" w:rsidRPr="00B161C1" w:rsidRDefault="00BB4545" w:rsidP="00C35BC8">
            <w:pPr>
              <w:jc w:val="center"/>
              <w:rPr>
                <w:color w:val="000000"/>
              </w:rPr>
            </w:pPr>
          </w:p>
        </w:tc>
      </w:tr>
      <w:tr w:rsidR="00BB4545" w:rsidRPr="001051D7" w:rsidTr="00C35BC8">
        <w:trPr>
          <w:jc w:val="center"/>
        </w:trPr>
        <w:tc>
          <w:tcPr>
            <w:tcW w:w="824" w:type="dxa"/>
            <w:shd w:val="clear" w:color="auto" w:fill="auto"/>
          </w:tcPr>
          <w:p w:rsidR="00BB4545" w:rsidRPr="001051D7" w:rsidRDefault="00BB4545" w:rsidP="00C35BC8">
            <w:pPr>
              <w:jc w:val="center"/>
            </w:pPr>
            <w:r w:rsidRPr="001051D7">
              <w:t>8.1.</w:t>
            </w:r>
          </w:p>
        </w:tc>
        <w:tc>
          <w:tcPr>
            <w:tcW w:w="4954" w:type="dxa"/>
            <w:shd w:val="clear" w:color="auto" w:fill="auto"/>
          </w:tcPr>
          <w:p w:rsidR="00BB4545" w:rsidRPr="001051D7" w:rsidRDefault="00BB4545" w:rsidP="00C35BC8">
            <w:r w:rsidRPr="001051D7">
              <w:t>objekta platība līdz 25 ha (ieskaitot), viens objekts</w:t>
            </w:r>
          </w:p>
        </w:tc>
        <w:tc>
          <w:tcPr>
            <w:tcW w:w="1560" w:type="dxa"/>
            <w:vAlign w:val="center"/>
          </w:tcPr>
          <w:p w:rsidR="00BB4545" w:rsidRPr="00B161C1" w:rsidRDefault="00BB4545" w:rsidP="00C35BC8">
            <w:pPr>
              <w:jc w:val="center"/>
              <w:rPr>
                <w:b/>
                <w:bCs/>
                <w:color w:val="000000"/>
              </w:rPr>
            </w:pPr>
            <w:r w:rsidRPr="00B161C1">
              <w:rPr>
                <w:b/>
                <w:bCs/>
                <w:color w:val="000000"/>
              </w:rPr>
              <w:t>0,00</w:t>
            </w:r>
          </w:p>
        </w:tc>
        <w:tc>
          <w:tcPr>
            <w:tcW w:w="1701" w:type="dxa"/>
            <w:vAlign w:val="center"/>
          </w:tcPr>
          <w:p w:rsidR="00BB4545" w:rsidRPr="00B161C1" w:rsidRDefault="00BB4545" w:rsidP="00C35BC8">
            <w:pPr>
              <w:jc w:val="center"/>
              <w:rPr>
                <w:b/>
                <w:bCs/>
                <w:color w:val="000000"/>
              </w:rPr>
            </w:pPr>
            <w:r w:rsidRPr="00B161C1">
              <w:rPr>
                <w:b/>
                <w:bCs/>
                <w:color w:val="000000"/>
              </w:rPr>
              <w:t>0,00</w:t>
            </w:r>
          </w:p>
        </w:tc>
      </w:tr>
      <w:tr w:rsidR="00BB4545" w:rsidTr="00C35BC8">
        <w:trPr>
          <w:jc w:val="center"/>
        </w:trPr>
        <w:tc>
          <w:tcPr>
            <w:tcW w:w="824" w:type="dxa"/>
            <w:shd w:val="clear" w:color="auto" w:fill="auto"/>
          </w:tcPr>
          <w:p w:rsidR="00BB4545" w:rsidRPr="001051D7" w:rsidRDefault="00BB4545" w:rsidP="00C35BC8">
            <w:pPr>
              <w:jc w:val="center"/>
            </w:pPr>
            <w:r w:rsidRPr="001051D7">
              <w:t>8.2.</w:t>
            </w:r>
          </w:p>
        </w:tc>
        <w:tc>
          <w:tcPr>
            <w:tcW w:w="4954" w:type="dxa"/>
            <w:shd w:val="clear" w:color="auto" w:fill="auto"/>
          </w:tcPr>
          <w:p w:rsidR="00BB4545" w:rsidRPr="001051D7" w:rsidRDefault="00BB4545" w:rsidP="00C35BC8">
            <w:r w:rsidRPr="001051D7">
              <w:t>objekta platība virs 25 ha, papildus par katru nākamo ha</w:t>
            </w:r>
          </w:p>
        </w:tc>
        <w:tc>
          <w:tcPr>
            <w:tcW w:w="1560" w:type="dxa"/>
            <w:vAlign w:val="center"/>
          </w:tcPr>
          <w:p w:rsidR="00BB4545" w:rsidRPr="00B161C1" w:rsidRDefault="00BB4545" w:rsidP="00C35BC8">
            <w:pPr>
              <w:jc w:val="center"/>
              <w:rPr>
                <w:b/>
                <w:bCs/>
                <w:color w:val="000000"/>
              </w:rPr>
            </w:pPr>
            <w:r w:rsidRPr="00B161C1">
              <w:rPr>
                <w:b/>
                <w:bCs/>
                <w:color w:val="000000"/>
              </w:rPr>
              <w:t>0,00</w:t>
            </w:r>
          </w:p>
        </w:tc>
        <w:tc>
          <w:tcPr>
            <w:tcW w:w="1701" w:type="dxa"/>
            <w:vAlign w:val="center"/>
          </w:tcPr>
          <w:p w:rsidR="00BB4545" w:rsidRPr="00B161C1" w:rsidRDefault="00BB4545" w:rsidP="00C35BC8">
            <w:pPr>
              <w:jc w:val="center"/>
              <w:rPr>
                <w:b/>
                <w:bCs/>
                <w:color w:val="000000"/>
              </w:rPr>
            </w:pPr>
            <w:r w:rsidRPr="00B161C1">
              <w:rPr>
                <w:b/>
                <w:bCs/>
                <w:color w:val="000000"/>
              </w:rPr>
              <w:t>0,00</w:t>
            </w:r>
          </w:p>
        </w:tc>
      </w:tr>
    </w:tbl>
    <w:p w:rsidR="00BB4545" w:rsidRPr="002C673E" w:rsidRDefault="00BB4545" w:rsidP="00BB4545">
      <w:pPr>
        <w:tabs>
          <w:tab w:val="left" w:pos="3648"/>
        </w:tabs>
      </w:pPr>
    </w:p>
    <w:p w:rsidR="00EE016F" w:rsidRDefault="009E6B8B"/>
    <w:sectPr w:rsidR="00EE016F" w:rsidSect="00CA55FE">
      <w:headerReference w:type="default" r:id="rId10"/>
      <w:headerReference w:type="first" r:id="rId11"/>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B8B" w:rsidRDefault="009E6B8B" w:rsidP="00BB4545">
      <w:r>
        <w:separator/>
      </w:r>
    </w:p>
  </w:endnote>
  <w:endnote w:type="continuationSeparator" w:id="0">
    <w:p w:rsidR="009E6B8B" w:rsidRDefault="009E6B8B" w:rsidP="00BB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B8B" w:rsidRDefault="009E6B8B" w:rsidP="00BB4545">
      <w:r>
        <w:separator/>
      </w:r>
    </w:p>
  </w:footnote>
  <w:footnote w:type="continuationSeparator" w:id="0">
    <w:p w:rsidR="009E6B8B" w:rsidRDefault="009E6B8B" w:rsidP="00BB4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545" w:rsidRDefault="00BB4545">
    <w:pPr>
      <w:pStyle w:val="Galvene"/>
      <w:jc w:val="center"/>
    </w:pPr>
    <w:r>
      <w:fldChar w:fldCharType="begin"/>
    </w:r>
    <w:r>
      <w:instrText>PAGE   \* MERGEFORMAT</w:instrText>
    </w:r>
    <w:r>
      <w:fldChar w:fldCharType="separate"/>
    </w:r>
    <w:r>
      <w:rPr>
        <w:noProof/>
      </w:rPr>
      <w:t>5</w:t>
    </w:r>
    <w:r>
      <w:fldChar w:fldCharType="end"/>
    </w:r>
  </w:p>
  <w:p w:rsidR="00BB4545" w:rsidRDefault="00BB454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545" w:rsidRDefault="00BB4545">
    <w:pPr>
      <w:pStyle w:val="Galvene"/>
    </w:pPr>
    <w:r>
      <w:rPr>
        <w:noProof/>
        <w:lang w:eastAsia="lv-LV"/>
      </w:rPr>
      <w:drawing>
        <wp:anchor distT="0" distB="0" distL="114300" distR="114300" simplePos="0" relativeHeight="251661312" behindDoc="1" locked="0" layoutInCell="1" allowOverlap="0" wp14:anchorId="4D52AEB3" wp14:editId="7804DF44">
          <wp:simplePos x="0" y="0"/>
          <wp:positionH relativeFrom="page">
            <wp:posOffset>117475</wp:posOffset>
          </wp:positionH>
          <wp:positionV relativeFrom="paragraph">
            <wp:posOffset>-452755</wp:posOffset>
          </wp:positionV>
          <wp:extent cx="7545070" cy="2327275"/>
          <wp:effectExtent l="0" t="0" r="0" b="0"/>
          <wp:wrapTight wrapText="bothSides">
            <wp:wrapPolygon edited="0">
              <wp:start x="0" y="0"/>
              <wp:lineTo x="0" y="21394"/>
              <wp:lineTo x="21542" y="21394"/>
              <wp:lineTo x="21542" y="0"/>
              <wp:lineTo x="0" y="0"/>
            </wp:wrapPolygon>
          </wp:wrapTight>
          <wp:docPr id="7" name="Attēls 7"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554" w:rsidRDefault="009E6B8B">
    <w:pPr>
      <w:pStyle w:val="Galvene"/>
      <w:jc w:val="center"/>
    </w:pPr>
    <w:r>
      <w:fldChar w:fldCharType="begin"/>
    </w:r>
    <w:r>
      <w:instrText>PAGE   \* MERGEFORMAT</w:instrText>
    </w:r>
    <w:r>
      <w:fldChar w:fldCharType="separate"/>
    </w:r>
    <w:r w:rsidR="00BB4545">
      <w:rPr>
        <w:noProof/>
      </w:rPr>
      <w:t>7</w:t>
    </w:r>
    <w:r>
      <w:fldChar w:fldCharType="end"/>
    </w:r>
  </w:p>
  <w:p w:rsidR="00A11554" w:rsidRDefault="009E6B8B">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A37" w:rsidRDefault="009E6B8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559F0"/>
    <w:multiLevelType w:val="multilevel"/>
    <w:tmpl w:val="49B044D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22425A1"/>
    <w:multiLevelType w:val="hybridMultilevel"/>
    <w:tmpl w:val="47FC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96"/>
    <w:rsid w:val="000A401C"/>
    <w:rsid w:val="009E6B8B"/>
    <w:rsid w:val="00A27996"/>
    <w:rsid w:val="00BB4545"/>
    <w:rsid w:val="00C35F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65D915-9D81-41D7-98F2-A4317B78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B4545"/>
    <w:pPr>
      <w:spacing w:after="0" w:line="240" w:lineRule="auto"/>
    </w:pPr>
    <w:rPr>
      <w:rFonts w:ascii="Times New Roman" w:eastAsia="Calibri"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B4545"/>
    <w:pPr>
      <w:tabs>
        <w:tab w:val="center" w:pos="4153"/>
        <w:tab w:val="right" w:pos="8306"/>
      </w:tabs>
    </w:pPr>
  </w:style>
  <w:style w:type="character" w:customStyle="1" w:styleId="GalveneRakstz">
    <w:name w:val="Galvene Rakstz."/>
    <w:basedOn w:val="Noklusjumarindkopasfonts"/>
    <w:link w:val="Galvene"/>
    <w:uiPriority w:val="99"/>
    <w:rsid w:val="00BB4545"/>
    <w:rPr>
      <w:rFonts w:ascii="Times New Roman" w:eastAsia="Calibri" w:hAnsi="Times New Roman" w:cs="Times New Roman"/>
      <w:sz w:val="24"/>
    </w:r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BB4545"/>
    <w:pPr>
      <w:ind w:left="720"/>
      <w:contextualSpacing/>
    </w:p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BB4545"/>
    <w:rPr>
      <w:rFonts w:ascii="Times New Roman" w:eastAsia="Calibri" w:hAnsi="Times New Roman" w:cs="Times New Roman"/>
      <w:sz w:val="24"/>
    </w:rPr>
  </w:style>
  <w:style w:type="paragraph" w:styleId="Kjene">
    <w:name w:val="footer"/>
    <w:basedOn w:val="Parasts"/>
    <w:link w:val="KjeneRakstz"/>
    <w:uiPriority w:val="99"/>
    <w:unhideWhenUsed/>
    <w:rsid w:val="00BB4545"/>
    <w:pPr>
      <w:tabs>
        <w:tab w:val="center" w:pos="4153"/>
        <w:tab w:val="right" w:pos="8306"/>
      </w:tabs>
    </w:pPr>
  </w:style>
  <w:style w:type="character" w:customStyle="1" w:styleId="KjeneRakstz">
    <w:name w:val="Kājene Rakstz."/>
    <w:basedOn w:val="Noklusjumarindkopasfonts"/>
    <w:link w:val="Kjene"/>
    <w:uiPriority w:val="99"/>
    <w:rsid w:val="00BB4545"/>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8250</Words>
  <Characters>4703</Characters>
  <Application>Microsoft Office Word</Application>
  <DocSecurity>0</DocSecurity>
  <Lines>39</Lines>
  <Paragraphs>25</Paragraphs>
  <ScaleCrop>false</ScaleCrop>
  <Company/>
  <LinksUpToDate>false</LinksUpToDate>
  <CharactersWithSpaces>12928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Limbažu novads</dc:creator>
  <cp:keywords/>
  <dc:description/>
  <cp:lastModifiedBy>Limbažu novads</cp:lastModifiedBy>
  <cp:revision>2</cp:revision>
  <dcterms:created xsi:type="dcterms:W3CDTF">2020-03-24T06:41:00Z</dcterms:created>
  <dcterms:modified xsi:type="dcterms:W3CDTF">2020-03-24T06:42:00Z</dcterms:modified>
</cp:coreProperties>
</file>