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25" w:rsidRDefault="00317525" w:rsidP="00A073EF">
      <w:pPr>
        <w:ind w:right="-186"/>
        <w:jc w:val="center"/>
        <w:rPr>
          <w:b/>
        </w:rPr>
      </w:pPr>
    </w:p>
    <w:p w:rsidR="00317525" w:rsidRPr="00F33075" w:rsidRDefault="00317525" w:rsidP="00317525">
      <w:pPr>
        <w:snapToGrid w:val="0"/>
        <w:jc w:val="center"/>
        <w:rPr>
          <w:b/>
        </w:rPr>
      </w:pPr>
      <w:r w:rsidRPr="00F33075">
        <w:t>Limbažos</w:t>
      </w:r>
    </w:p>
    <w:p w:rsidR="00317525" w:rsidRPr="00F33075" w:rsidRDefault="00317525" w:rsidP="00317525">
      <w:pPr>
        <w:snapToGrid w:val="0"/>
        <w:rPr>
          <w:b/>
        </w:rPr>
      </w:pPr>
    </w:p>
    <w:p w:rsidR="00317525" w:rsidRPr="00C8395D" w:rsidRDefault="00317525" w:rsidP="00317525">
      <w:pPr>
        <w:jc w:val="center"/>
        <w:rPr>
          <w:b/>
          <w:bCs/>
          <w:lang w:eastAsia="en-US"/>
        </w:rPr>
      </w:pPr>
      <w:r w:rsidRPr="00C8395D">
        <w:rPr>
          <w:b/>
          <w:bCs/>
          <w:lang w:eastAsia="en-US"/>
        </w:rPr>
        <w:t>PASKAIDROJUMA RAKSTS</w:t>
      </w:r>
    </w:p>
    <w:p w:rsidR="00317525" w:rsidRPr="00C8395D" w:rsidRDefault="00317525" w:rsidP="00317525">
      <w:pPr>
        <w:jc w:val="center"/>
        <w:rPr>
          <w:b/>
          <w:color w:val="000000"/>
          <w:lang w:eastAsia="en-US"/>
        </w:rPr>
      </w:pPr>
      <w:r>
        <w:rPr>
          <w:b/>
          <w:color w:val="000000"/>
          <w:lang w:eastAsia="en-US"/>
        </w:rPr>
        <w:t>Limbažu novada pašvaldības</w:t>
      </w:r>
      <w:r w:rsidRPr="00C8395D">
        <w:rPr>
          <w:b/>
          <w:color w:val="000000"/>
          <w:lang w:eastAsia="en-US"/>
        </w:rPr>
        <w:t xml:space="preserve"> saistošajiem noteikumiem </w:t>
      </w:r>
      <w:r>
        <w:rPr>
          <w:b/>
          <w:color w:val="000000"/>
          <w:lang w:eastAsia="en-US"/>
        </w:rPr>
        <w:t>Nr.9</w:t>
      </w:r>
    </w:p>
    <w:p w:rsidR="00317525" w:rsidRPr="00C8395D" w:rsidRDefault="00317525" w:rsidP="00317525">
      <w:pPr>
        <w:jc w:val="center"/>
        <w:rPr>
          <w:b/>
          <w:lang w:eastAsia="en-US"/>
        </w:rPr>
      </w:pPr>
      <w:r w:rsidRPr="00C8395D">
        <w:rPr>
          <w:b/>
          <w:lang w:eastAsia="en-US"/>
        </w:rPr>
        <w:t>„</w:t>
      </w:r>
      <w:r w:rsidRPr="00C8395D">
        <w:rPr>
          <w:b/>
          <w:bCs/>
          <w:lang w:eastAsia="en-US"/>
        </w:rPr>
        <w:t>Grozījumi Limbažu novada pašvaldības 2012.gada 16.februāra</w:t>
      </w:r>
    </w:p>
    <w:p w:rsidR="00317525" w:rsidRPr="00C8395D" w:rsidRDefault="00317525" w:rsidP="00317525">
      <w:pPr>
        <w:jc w:val="center"/>
        <w:rPr>
          <w:b/>
          <w:lang w:eastAsia="en-US"/>
        </w:rPr>
      </w:pPr>
      <w:r w:rsidRPr="00C8395D">
        <w:rPr>
          <w:b/>
          <w:bCs/>
          <w:lang w:eastAsia="en-US"/>
        </w:rPr>
        <w:t>saistošajos noteikumos Nr.5 „Limbažu novada pašvaldības nolikums””</w:t>
      </w:r>
    </w:p>
    <w:p w:rsidR="00317525" w:rsidRPr="00F33075" w:rsidRDefault="00317525" w:rsidP="00317525">
      <w:pPr>
        <w:contextualSpacing/>
        <w:jc w:val="center"/>
        <w:rPr>
          <w:rFonts w:eastAsia="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8"/>
      </w:tblGrid>
      <w:tr w:rsidR="00317525" w:rsidRPr="00F33075" w:rsidTr="0081353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jc w:val="center"/>
              <w:rPr>
                <w:rFonts w:eastAsia="Calibri"/>
                <w:b/>
              </w:rPr>
            </w:pPr>
            <w:r w:rsidRPr="00F33075">
              <w:rPr>
                <w:rFonts w:eastAsia="Calibri"/>
                <w:b/>
              </w:rPr>
              <w:t xml:space="preserve">Paskaidrojuma </w:t>
            </w:r>
          </w:p>
          <w:p w:rsidR="00317525" w:rsidRPr="00F33075" w:rsidRDefault="00317525" w:rsidP="00813538">
            <w:pPr>
              <w:contextualSpacing/>
              <w:jc w:val="center"/>
              <w:rPr>
                <w:rFonts w:eastAsia="Calibri"/>
                <w:b/>
              </w:rPr>
            </w:pPr>
            <w:r w:rsidRPr="00F33075">
              <w:rPr>
                <w:rFonts w:eastAsia="Calibri"/>
                <w:b/>
              </w:rPr>
              <w:t>raksta sadaļas</w:t>
            </w:r>
          </w:p>
        </w:tc>
        <w:tc>
          <w:tcPr>
            <w:tcW w:w="6378"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jc w:val="center"/>
              <w:rPr>
                <w:rFonts w:eastAsia="Calibri"/>
                <w:b/>
              </w:rPr>
            </w:pPr>
            <w:r w:rsidRPr="00F33075">
              <w:rPr>
                <w:rFonts w:eastAsia="Calibri"/>
                <w:b/>
              </w:rPr>
              <w:t>Norādāmā informācija</w:t>
            </w:r>
          </w:p>
        </w:tc>
      </w:tr>
      <w:tr w:rsidR="00317525" w:rsidRPr="00F33075" w:rsidTr="00813538">
        <w:trPr>
          <w:trHeight w:val="1186"/>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rPr>
                <w:rFonts w:eastAsia="Calibri"/>
                <w:b/>
                <w:bCs/>
              </w:rPr>
            </w:pPr>
            <w:r w:rsidRPr="00F33075">
              <w:rPr>
                <w:rFonts w:eastAsia="Calibri"/>
              </w:rPr>
              <w:t>1. Projekta nepieciešamības pamatojums</w:t>
            </w:r>
          </w:p>
        </w:tc>
        <w:tc>
          <w:tcPr>
            <w:tcW w:w="6378"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jc w:val="both"/>
              <w:rPr>
                <w:lang w:eastAsia="en-US"/>
              </w:rPr>
            </w:pPr>
            <w:r>
              <w:t>Saistošo noteikumu izdošanas mērķis ir precizēt pašvaldības administrācijas struktūru.</w:t>
            </w:r>
          </w:p>
        </w:tc>
      </w:tr>
      <w:tr w:rsidR="00317525" w:rsidRPr="00F33075" w:rsidTr="00813538">
        <w:trPr>
          <w:trHeight w:val="69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rPr>
                <w:rFonts w:eastAsia="Calibri"/>
                <w:b/>
                <w:bCs/>
              </w:rPr>
            </w:pPr>
            <w:r w:rsidRPr="00F33075">
              <w:rPr>
                <w:rFonts w:eastAsia="Calibri"/>
              </w:rPr>
              <w:t>2. Īss projekta satura izklāsts</w:t>
            </w:r>
          </w:p>
        </w:tc>
        <w:tc>
          <w:tcPr>
            <w:tcW w:w="6378"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jc w:val="both"/>
            </w:pPr>
            <w:r w:rsidRPr="00C8395D">
              <w:t>Saistošie noteikumi izstrādāti, lai</w:t>
            </w:r>
            <w:r>
              <w:t>,</w:t>
            </w:r>
            <w:r w:rsidRPr="00C8395D">
              <w:t xml:space="preserve"> saskaņā ar pieņemto domes lēmumu</w:t>
            </w:r>
            <w:r>
              <w:t>,</w:t>
            </w:r>
            <w:r w:rsidRPr="00C8395D">
              <w:t xml:space="preserve"> precizētu pašvaldības administrācijas struktūru atbilstoši esošai situācijai</w:t>
            </w:r>
            <w:r>
              <w:t>, izveidojot iestādi - Limbažu</w:t>
            </w:r>
            <w:r w:rsidRPr="005908D0">
              <w:t xml:space="preserve"> novada pašvaldības administrācija</w:t>
            </w:r>
            <w:r>
              <w:t>.</w:t>
            </w:r>
          </w:p>
        </w:tc>
      </w:tr>
      <w:tr w:rsidR="00317525" w:rsidRPr="00F33075" w:rsidTr="0081353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ind w:right="-108"/>
              <w:contextualSpacing/>
              <w:rPr>
                <w:rFonts w:eastAsia="Calibri"/>
                <w:b/>
                <w:bCs/>
              </w:rPr>
            </w:pPr>
            <w:r w:rsidRPr="00F33075">
              <w:rPr>
                <w:rFonts w:eastAsia="Calibri"/>
              </w:rPr>
              <w:t>3. Informācija par plānoto projekta ietekmi uz pašvaldības budžetu</w:t>
            </w:r>
          </w:p>
        </w:tc>
        <w:tc>
          <w:tcPr>
            <w:tcW w:w="6378"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jc w:val="both"/>
              <w:rPr>
                <w:rFonts w:eastAsia="Calibri"/>
                <w:bCs/>
              </w:rPr>
            </w:pPr>
            <w:r w:rsidRPr="00F33075">
              <w:rPr>
                <w:rFonts w:eastAsia="Calibri"/>
                <w:bCs/>
              </w:rPr>
              <w:t>Neietekmē.</w:t>
            </w:r>
          </w:p>
        </w:tc>
      </w:tr>
      <w:tr w:rsidR="00317525" w:rsidRPr="00F33075" w:rsidTr="0081353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ind w:right="-108"/>
              <w:contextualSpacing/>
              <w:rPr>
                <w:rFonts w:eastAsia="Calibri"/>
                <w:b/>
                <w:bCs/>
              </w:rPr>
            </w:pPr>
            <w:r w:rsidRPr="00F33075">
              <w:rPr>
                <w:rFonts w:eastAsia="Calibri"/>
              </w:rPr>
              <w:t>4. Informācija par plānoto projekta ietekmi uz uzņēmējdarbības vidi pašvaldības teritorijā</w:t>
            </w:r>
          </w:p>
        </w:tc>
        <w:tc>
          <w:tcPr>
            <w:tcW w:w="6378"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jc w:val="both"/>
              <w:rPr>
                <w:rFonts w:eastAsia="Calibri"/>
                <w:bCs/>
              </w:rPr>
            </w:pPr>
            <w:r w:rsidRPr="00F33075">
              <w:rPr>
                <w:rFonts w:eastAsia="Calibri"/>
                <w:bCs/>
              </w:rPr>
              <w:t>Neietekmē.</w:t>
            </w:r>
          </w:p>
        </w:tc>
      </w:tr>
      <w:tr w:rsidR="00317525" w:rsidRPr="00F33075" w:rsidTr="00813538">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rPr>
                <w:rFonts w:eastAsia="Calibri"/>
                <w:b/>
                <w:bCs/>
              </w:rPr>
            </w:pPr>
            <w:r w:rsidRPr="00F33075">
              <w:rPr>
                <w:rFonts w:eastAsia="Calibri"/>
              </w:rPr>
              <w:t>5. Informācija par administratīvajām procedūrām</w:t>
            </w:r>
          </w:p>
        </w:tc>
        <w:tc>
          <w:tcPr>
            <w:tcW w:w="6378"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jc w:val="both"/>
              <w:rPr>
                <w:rFonts w:eastAsia="Calibri"/>
                <w:bCs/>
              </w:rPr>
            </w:pPr>
            <w:r>
              <w:t>Neietekmē.</w:t>
            </w:r>
          </w:p>
        </w:tc>
      </w:tr>
      <w:tr w:rsidR="00317525" w:rsidRPr="00F33075" w:rsidTr="00813538">
        <w:trPr>
          <w:trHeight w:val="88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ind w:right="-108"/>
              <w:contextualSpacing/>
              <w:rPr>
                <w:rFonts w:eastAsia="Calibri"/>
                <w:b/>
                <w:bCs/>
              </w:rPr>
            </w:pPr>
            <w:r w:rsidRPr="00F33075">
              <w:rPr>
                <w:rFonts w:eastAsia="Calibri"/>
              </w:rPr>
              <w:t>6. Informācija par konsultācijām ar privātpersonām</w:t>
            </w:r>
          </w:p>
        </w:tc>
        <w:tc>
          <w:tcPr>
            <w:tcW w:w="6378" w:type="dxa"/>
            <w:tcBorders>
              <w:top w:val="single" w:sz="4" w:space="0" w:color="auto"/>
              <w:left w:val="single" w:sz="4" w:space="0" w:color="auto"/>
              <w:bottom w:val="single" w:sz="4" w:space="0" w:color="auto"/>
              <w:right w:val="single" w:sz="4" w:space="0" w:color="auto"/>
            </w:tcBorders>
            <w:vAlign w:val="center"/>
            <w:hideMark/>
          </w:tcPr>
          <w:p w:rsidR="00317525" w:rsidRPr="00F33075" w:rsidRDefault="00317525" w:rsidP="00813538">
            <w:pPr>
              <w:contextualSpacing/>
              <w:jc w:val="both"/>
              <w:rPr>
                <w:rFonts w:eastAsia="Calibri"/>
                <w:b/>
                <w:bCs/>
              </w:rPr>
            </w:pPr>
            <w:r w:rsidRPr="00C8395D">
              <w:rPr>
                <w:rFonts w:eastAsia="Calibri"/>
              </w:rPr>
              <w:t>Nav attiecināms.</w:t>
            </w:r>
          </w:p>
        </w:tc>
      </w:tr>
    </w:tbl>
    <w:p w:rsidR="00317525" w:rsidRPr="00F33075" w:rsidRDefault="00317525" w:rsidP="00317525">
      <w:pPr>
        <w:contextualSpacing/>
        <w:jc w:val="both"/>
        <w:rPr>
          <w:rFonts w:eastAsia="Calibri"/>
          <w:b/>
          <w:bCs/>
        </w:rPr>
      </w:pPr>
    </w:p>
    <w:p w:rsidR="00317525" w:rsidRPr="00F33075" w:rsidRDefault="00317525" w:rsidP="00317525">
      <w:pPr>
        <w:contextualSpacing/>
        <w:jc w:val="both"/>
        <w:rPr>
          <w:rFonts w:eastAsia="Calibri"/>
          <w:b/>
          <w:bCs/>
        </w:rPr>
      </w:pPr>
    </w:p>
    <w:p w:rsidR="00317525" w:rsidRPr="00F33075" w:rsidRDefault="00317525" w:rsidP="00317525">
      <w:pPr>
        <w:ind w:right="43"/>
        <w:contextualSpacing/>
        <w:rPr>
          <w:rFonts w:eastAsia="Calibri"/>
        </w:rPr>
      </w:pPr>
      <w:r w:rsidRPr="00F33075">
        <w:rPr>
          <w:rFonts w:eastAsia="Calibri"/>
        </w:rPr>
        <w:t>Limbažu novada pašvaldības</w:t>
      </w:r>
    </w:p>
    <w:p w:rsidR="00317525" w:rsidRPr="00F33075" w:rsidRDefault="00317525" w:rsidP="00317525">
      <w:pPr>
        <w:tabs>
          <w:tab w:val="left" w:pos="4678"/>
          <w:tab w:val="left" w:pos="8364"/>
        </w:tabs>
        <w:ind w:right="43"/>
        <w:contextualSpacing/>
        <w:rPr>
          <w:rFonts w:eastAsia="Calibri"/>
        </w:rPr>
      </w:pPr>
      <w:r w:rsidRPr="00F33075">
        <w:rPr>
          <w:rFonts w:eastAsia="Calibri"/>
        </w:rPr>
        <w:t>Domes priekšsēdētājs</w:t>
      </w:r>
      <w:r w:rsidRPr="00F33075">
        <w:rPr>
          <w:rFonts w:eastAsia="Calibri"/>
        </w:rPr>
        <w:tab/>
      </w:r>
      <w:r w:rsidRPr="00F33075">
        <w:rPr>
          <w:rFonts w:eastAsia="Calibri"/>
        </w:rPr>
        <w:tab/>
      </w:r>
      <w:proofErr w:type="spellStart"/>
      <w:r w:rsidRPr="00F33075">
        <w:rPr>
          <w:rFonts w:eastAsia="Calibri"/>
        </w:rPr>
        <w:t>D.Zemmers</w:t>
      </w:r>
      <w:proofErr w:type="spellEnd"/>
    </w:p>
    <w:p w:rsidR="00317525" w:rsidRPr="00F33075" w:rsidRDefault="00317525" w:rsidP="00317525">
      <w:pPr>
        <w:ind w:firstLine="567"/>
        <w:jc w:val="both"/>
        <w:rPr>
          <w:rFonts w:eastAsia="Calibri"/>
        </w:rPr>
      </w:pPr>
    </w:p>
    <w:p w:rsidR="00317525" w:rsidRDefault="00317525" w:rsidP="00A073EF">
      <w:pPr>
        <w:ind w:right="-186"/>
        <w:jc w:val="center"/>
        <w:rPr>
          <w:b/>
        </w:rPr>
      </w:pPr>
    </w:p>
    <w:p w:rsidR="00317525" w:rsidRDefault="00317525" w:rsidP="00A073EF">
      <w:pPr>
        <w:ind w:right="-186"/>
        <w:jc w:val="center"/>
        <w:rPr>
          <w:b/>
        </w:rPr>
      </w:pPr>
    </w:p>
    <w:p w:rsidR="00317525" w:rsidRDefault="00317525" w:rsidP="00A073EF">
      <w:pPr>
        <w:ind w:right="-186"/>
        <w:jc w:val="center"/>
        <w:rPr>
          <w:b/>
        </w:rPr>
      </w:pPr>
    </w:p>
    <w:p w:rsidR="00317525" w:rsidRDefault="00317525" w:rsidP="00A073EF">
      <w:pPr>
        <w:ind w:right="-186"/>
        <w:jc w:val="center"/>
        <w:rPr>
          <w:b/>
        </w:rPr>
      </w:pPr>
    </w:p>
    <w:p w:rsidR="00317525" w:rsidRDefault="00317525" w:rsidP="00317525">
      <w:pPr>
        <w:ind w:right="-186"/>
        <w:rPr>
          <w:b/>
        </w:rPr>
      </w:pPr>
    </w:p>
    <w:p w:rsidR="00317525" w:rsidRDefault="00317525" w:rsidP="00317525">
      <w:pPr>
        <w:ind w:right="-186"/>
        <w:jc w:val="center"/>
        <w:rPr>
          <w:b/>
        </w:rPr>
      </w:pPr>
      <w:r w:rsidRPr="00317525">
        <w:rPr>
          <w:noProof/>
          <w:sz w:val="2"/>
          <w:szCs w:val="2"/>
        </w:rPr>
        <w:lastRenderedPageBreak/>
        <w:drawing>
          <wp:anchor distT="0" distB="0" distL="114300" distR="114300" simplePos="0" relativeHeight="251658752" behindDoc="1" locked="0" layoutInCell="1" allowOverlap="0" wp14:anchorId="67AB0676" wp14:editId="2723D6DA">
            <wp:simplePos x="0" y="0"/>
            <wp:positionH relativeFrom="page">
              <wp:posOffset>-100330</wp:posOffset>
            </wp:positionH>
            <wp:positionV relativeFrom="paragraph">
              <wp:posOffset>-1259840</wp:posOffset>
            </wp:positionV>
            <wp:extent cx="7546340" cy="2329180"/>
            <wp:effectExtent l="0" t="0" r="0" b="0"/>
            <wp:wrapTight wrapText="bothSides">
              <wp:wrapPolygon edited="0">
                <wp:start x="0" y="0"/>
                <wp:lineTo x="0" y="21376"/>
                <wp:lineTo x="21538" y="21376"/>
                <wp:lineTo x="21538"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6340" cy="23291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A073EF" w:rsidRPr="00F33075" w:rsidRDefault="00A073EF" w:rsidP="00A073EF">
      <w:pPr>
        <w:ind w:right="-186"/>
        <w:jc w:val="center"/>
        <w:rPr>
          <w:b/>
        </w:rPr>
      </w:pPr>
      <w:r w:rsidRPr="00F33075">
        <w:rPr>
          <w:b/>
        </w:rPr>
        <w:t>SAISTOŠIE NOTEIKUMI</w:t>
      </w:r>
    </w:p>
    <w:p w:rsidR="00A073EF" w:rsidRPr="00F33075" w:rsidRDefault="00A073EF" w:rsidP="00A073EF">
      <w:pPr>
        <w:ind w:right="-186"/>
        <w:jc w:val="center"/>
        <w:rPr>
          <w:b/>
        </w:rPr>
      </w:pPr>
      <w:r w:rsidRPr="00F33075">
        <w:t>Limbažos</w:t>
      </w:r>
    </w:p>
    <w:p w:rsidR="00A073EF" w:rsidRPr="00F33075" w:rsidRDefault="00A073EF" w:rsidP="00A073EF">
      <w:pPr>
        <w:ind w:right="-186"/>
      </w:pPr>
    </w:p>
    <w:p w:rsidR="002A7FF1" w:rsidRPr="002A7FF1" w:rsidRDefault="00A073EF" w:rsidP="00AB177A">
      <w:pPr>
        <w:tabs>
          <w:tab w:val="left" w:pos="8931"/>
        </w:tabs>
        <w:ind w:right="43"/>
      </w:pPr>
      <w:r w:rsidRPr="00F33075">
        <w:t>201</w:t>
      </w:r>
      <w:r w:rsidR="00D0139E">
        <w:t>8</w:t>
      </w:r>
      <w:r w:rsidRPr="00F33075">
        <w:t xml:space="preserve">.gada </w:t>
      </w:r>
      <w:r w:rsidR="00D0139E">
        <w:t>22</w:t>
      </w:r>
      <w:r w:rsidRPr="00F33075">
        <w:t>.</w:t>
      </w:r>
      <w:r w:rsidR="00D0139E">
        <w:t>martā</w:t>
      </w:r>
      <w:r w:rsidRPr="00F33075">
        <w:tab/>
      </w:r>
      <w:r w:rsidR="00F42329">
        <w:t>Nr.</w:t>
      </w:r>
      <w:r w:rsidR="00D0139E">
        <w:t>9</w:t>
      </w:r>
    </w:p>
    <w:p w:rsidR="002A7FF1" w:rsidRDefault="002A7FF1" w:rsidP="00A073EF">
      <w:pPr>
        <w:autoSpaceDE w:val="0"/>
        <w:autoSpaceDN w:val="0"/>
        <w:adjustRightInd w:val="0"/>
        <w:jc w:val="right"/>
      </w:pPr>
    </w:p>
    <w:p w:rsidR="002A7FF1" w:rsidRDefault="002A7FF1" w:rsidP="00A073EF">
      <w:pPr>
        <w:autoSpaceDE w:val="0"/>
        <w:autoSpaceDN w:val="0"/>
        <w:adjustRightInd w:val="0"/>
        <w:jc w:val="right"/>
      </w:pPr>
    </w:p>
    <w:p w:rsidR="00A073EF" w:rsidRPr="00F33075" w:rsidRDefault="00A073EF" w:rsidP="00A073EF">
      <w:pPr>
        <w:tabs>
          <w:tab w:val="left" w:pos="1930"/>
        </w:tabs>
        <w:autoSpaceDE w:val="0"/>
        <w:autoSpaceDN w:val="0"/>
        <w:adjustRightInd w:val="0"/>
        <w:rPr>
          <w:b/>
          <w:bCs/>
        </w:rPr>
      </w:pPr>
    </w:p>
    <w:p w:rsidR="00A073EF" w:rsidRPr="00F33075" w:rsidRDefault="00A073EF" w:rsidP="00A073EF">
      <w:pPr>
        <w:pStyle w:val="Sarakstarindkopa"/>
        <w:spacing w:after="0" w:line="240" w:lineRule="auto"/>
        <w:ind w:left="0"/>
        <w:jc w:val="center"/>
        <w:rPr>
          <w:b/>
          <w:sz w:val="28"/>
          <w:szCs w:val="28"/>
        </w:rPr>
      </w:pPr>
      <w:r w:rsidRPr="00F33075">
        <w:rPr>
          <w:b/>
          <w:sz w:val="28"/>
          <w:szCs w:val="28"/>
        </w:rPr>
        <w:t>Grozījum</w:t>
      </w:r>
      <w:r w:rsidR="00AB177A">
        <w:rPr>
          <w:b/>
          <w:sz w:val="28"/>
          <w:szCs w:val="28"/>
        </w:rPr>
        <w:t>i</w:t>
      </w:r>
      <w:r w:rsidRPr="00F33075">
        <w:rPr>
          <w:b/>
          <w:sz w:val="28"/>
          <w:szCs w:val="28"/>
        </w:rPr>
        <w:t xml:space="preserve"> Limbažu novada pašvaldības 2012.gada 16.februāra </w:t>
      </w:r>
    </w:p>
    <w:p w:rsidR="00A073EF" w:rsidRPr="00F33075" w:rsidRDefault="00A073EF" w:rsidP="00A073EF">
      <w:pPr>
        <w:pStyle w:val="Sarakstarindkopa"/>
        <w:spacing w:after="0" w:line="240" w:lineRule="auto"/>
        <w:ind w:left="0"/>
        <w:jc w:val="center"/>
        <w:rPr>
          <w:b/>
          <w:sz w:val="28"/>
          <w:szCs w:val="28"/>
        </w:rPr>
      </w:pPr>
      <w:r w:rsidRPr="00F33075">
        <w:rPr>
          <w:b/>
          <w:sz w:val="28"/>
          <w:szCs w:val="28"/>
        </w:rPr>
        <w:t xml:space="preserve">saistošajos noteikumos Nr.5 „Limbažu novada pašvaldības nolikums” </w:t>
      </w:r>
    </w:p>
    <w:p w:rsidR="00A073EF" w:rsidRPr="00F33075" w:rsidRDefault="00A073EF" w:rsidP="00A073EF">
      <w:pPr>
        <w:pStyle w:val="Default"/>
        <w:jc w:val="right"/>
        <w:rPr>
          <w:color w:val="auto"/>
          <w:sz w:val="22"/>
          <w:szCs w:val="22"/>
        </w:rPr>
      </w:pPr>
    </w:p>
    <w:p w:rsidR="00A073EF" w:rsidRPr="00F33075" w:rsidRDefault="00A073EF" w:rsidP="00A073EF">
      <w:pPr>
        <w:pStyle w:val="Default"/>
        <w:jc w:val="right"/>
        <w:rPr>
          <w:i/>
          <w:color w:val="auto"/>
          <w:sz w:val="22"/>
          <w:szCs w:val="22"/>
        </w:rPr>
      </w:pPr>
      <w:r w:rsidRPr="00F33075">
        <w:rPr>
          <w:i/>
          <w:color w:val="auto"/>
          <w:sz w:val="22"/>
          <w:szCs w:val="22"/>
        </w:rPr>
        <w:t xml:space="preserve">Izdoti saskaņā ar </w:t>
      </w:r>
    </w:p>
    <w:p w:rsidR="00A073EF" w:rsidRPr="00F33075" w:rsidRDefault="00A073EF" w:rsidP="00A073EF">
      <w:pPr>
        <w:pStyle w:val="Default"/>
        <w:jc w:val="right"/>
        <w:rPr>
          <w:i/>
          <w:color w:val="auto"/>
          <w:sz w:val="22"/>
          <w:szCs w:val="22"/>
        </w:rPr>
      </w:pPr>
      <w:r w:rsidRPr="00F33075">
        <w:rPr>
          <w:i/>
          <w:color w:val="auto"/>
          <w:sz w:val="22"/>
          <w:szCs w:val="22"/>
        </w:rPr>
        <w:t xml:space="preserve">likuma „Par pašvaldībām” </w:t>
      </w:r>
      <w:r w:rsidR="009740B9">
        <w:rPr>
          <w:i/>
          <w:color w:val="auto"/>
          <w:sz w:val="22"/>
          <w:szCs w:val="22"/>
        </w:rPr>
        <w:t>21.panta</w:t>
      </w:r>
      <w:r w:rsidR="00404E2D">
        <w:rPr>
          <w:i/>
          <w:color w:val="auto"/>
          <w:sz w:val="22"/>
          <w:szCs w:val="22"/>
        </w:rPr>
        <w:t xml:space="preserve"> </w:t>
      </w:r>
      <w:r w:rsidR="002B5F96">
        <w:rPr>
          <w:i/>
          <w:color w:val="auto"/>
          <w:sz w:val="22"/>
          <w:szCs w:val="22"/>
        </w:rPr>
        <w:t>pirmās daļas 1.punktu</w:t>
      </w:r>
      <w:r w:rsidR="009740B9">
        <w:rPr>
          <w:i/>
          <w:color w:val="auto"/>
          <w:sz w:val="22"/>
          <w:szCs w:val="22"/>
        </w:rPr>
        <w:t xml:space="preserve"> un </w:t>
      </w:r>
      <w:r w:rsidR="002A7FF1">
        <w:rPr>
          <w:i/>
          <w:color w:val="auto"/>
          <w:sz w:val="22"/>
          <w:szCs w:val="22"/>
        </w:rPr>
        <w:t xml:space="preserve">24.pantu </w:t>
      </w:r>
    </w:p>
    <w:p w:rsidR="00C8395D" w:rsidRDefault="00C8395D" w:rsidP="00A073EF">
      <w:pPr>
        <w:jc w:val="both"/>
      </w:pPr>
    </w:p>
    <w:p w:rsidR="009B28B9" w:rsidRDefault="009B28B9" w:rsidP="009B28B9">
      <w:pPr>
        <w:suppressAutoHyphens/>
        <w:autoSpaceDN w:val="0"/>
        <w:ind w:firstLine="567"/>
        <w:jc w:val="both"/>
        <w:textAlignment w:val="baseline"/>
      </w:pPr>
      <w:r w:rsidRPr="009B28B9">
        <w:t>Izdarīt Limbažu novada pašvaldības 2012.gada 16.februāra saistošajos noteikumos Nr.5 „Limbažu novada pašvaldības nolikums” (turpmāk – saistošie noteikumi) šādus grozījumus:</w:t>
      </w:r>
    </w:p>
    <w:p w:rsidR="00894F7D" w:rsidRPr="009B28B9" w:rsidRDefault="00894F7D" w:rsidP="009B28B9">
      <w:pPr>
        <w:suppressAutoHyphens/>
        <w:autoSpaceDN w:val="0"/>
        <w:ind w:firstLine="567"/>
        <w:jc w:val="both"/>
        <w:textAlignment w:val="baseline"/>
      </w:pPr>
    </w:p>
    <w:p w:rsidR="009B28B9" w:rsidRPr="009B28B9" w:rsidRDefault="009B28B9" w:rsidP="00894F7D">
      <w:pPr>
        <w:numPr>
          <w:ilvl w:val="0"/>
          <w:numId w:val="5"/>
        </w:numPr>
        <w:suppressAutoHyphens/>
        <w:autoSpaceDN w:val="0"/>
        <w:ind w:left="357" w:hanging="357"/>
        <w:jc w:val="both"/>
        <w:textAlignment w:val="baseline"/>
        <w:rPr>
          <w:rFonts w:eastAsia="Calibri"/>
          <w:szCs w:val="22"/>
          <w:lang w:eastAsia="en-US"/>
        </w:rPr>
      </w:pPr>
      <w:r w:rsidRPr="009B28B9">
        <w:rPr>
          <w:rFonts w:eastAsia="Calibri"/>
          <w:szCs w:val="22"/>
          <w:lang w:eastAsia="en-US"/>
        </w:rPr>
        <w:t>Izteikt saistošo noteikumu 7.punktu šādā redakcijā:</w:t>
      </w:r>
    </w:p>
    <w:p w:rsidR="009B28B9" w:rsidRDefault="009B28B9" w:rsidP="009B28B9">
      <w:pPr>
        <w:suppressAutoHyphens/>
        <w:autoSpaceDN w:val="0"/>
        <w:jc w:val="both"/>
        <w:textAlignment w:val="baseline"/>
      </w:pPr>
      <w:r w:rsidRPr="009B28B9">
        <w:t>“7. Limbažu novada pašvaldības administrācija (turpmāk</w:t>
      </w:r>
      <w:r w:rsidR="009740B9">
        <w:t xml:space="preserve"> </w:t>
      </w:r>
      <w:r w:rsidRPr="009B28B9">
        <w:t xml:space="preserve">– administrācija) ir </w:t>
      </w:r>
      <w:r w:rsidR="009740B9">
        <w:t>d</w:t>
      </w:r>
      <w:r w:rsidRPr="009B28B9">
        <w:rPr>
          <w:rFonts w:eastAsia="Calibri"/>
          <w:color w:val="000000"/>
        </w:rPr>
        <w:t>omes izveidota budžeta iestāde, kas nodrošina domes pieņemto lēmumu izpildi, kā arī tās darba organizatorisko un tehnisko apkalpošanu</w:t>
      </w:r>
      <w:r w:rsidRPr="009B28B9">
        <w:t>, organizē vietējās pārvaldes darbu, ievērojot normatīvo aktu prasības, tajā skaitā domes lēmumu sagatavošanu un to virzību, administratīvo aktu izdošanu, pārvaldes vienību darba organizēšanu, un atbild par  normatīvo aktu ievērošanu un piemērošanu, sastāv no:”</w:t>
      </w:r>
    </w:p>
    <w:p w:rsidR="00894F7D" w:rsidRPr="009B28B9" w:rsidRDefault="00894F7D" w:rsidP="009B28B9">
      <w:pPr>
        <w:suppressAutoHyphens/>
        <w:autoSpaceDN w:val="0"/>
        <w:jc w:val="both"/>
        <w:textAlignment w:val="baseline"/>
      </w:pPr>
    </w:p>
    <w:p w:rsidR="009B28B9" w:rsidRPr="009B28B9" w:rsidRDefault="009B28B9" w:rsidP="00894F7D">
      <w:pPr>
        <w:numPr>
          <w:ilvl w:val="0"/>
          <w:numId w:val="4"/>
        </w:numPr>
        <w:suppressAutoHyphens/>
        <w:autoSpaceDN w:val="0"/>
        <w:ind w:left="357" w:hanging="357"/>
        <w:jc w:val="both"/>
        <w:textAlignment w:val="baseline"/>
        <w:rPr>
          <w:rFonts w:eastAsia="Calibri"/>
          <w:szCs w:val="22"/>
          <w:lang w:eastAsia="en-US"/>
        </w:rPr>
      </w:pPr>
      <w:r w:rsidRPr="009B28B9">
        <w:rPr>
          <w:rFonts w:eastAsia="Calibri"/>
          <w:szCs w:val="22"/>
          <w:lang w:eastAsia="en-US"/>
        </w:rPr>
        <w:t>Papildināt ar 7.14. -7.21.apakšpunktiem šādā redakcijā:</w:t>
      </w:r>
    </w:p>
    <w:p w:rsidR="009B28B9" w:rsidRPr="009B28B9" w:rsidRDefault="009B28B9" w:rsidP="002B5F96">
      <w:pPr>
        <w:suppressAutoHyphens/>
        <w:autoSpaceDN w:val="0"/>
        <w:textAlignment w:val="baseline"/>
      </w:pPr>
      <w:r w:rsidRPr="009B28B9">
        <w:rPr>
          <w:rFonts w:eastAsia="Calibri"/>
          <w:szCs w:val="22"/>
          <w:lang w:eastAsia="en-US"/>
        </w:rPr>
        <w:t xml:space="preserve">“ 7.14. </w:t>
      </w:r>
      <w:r w:rsidRPr="009B28B9">
        <w:rPr>
          <w:rFonts w:eastAsia="Calibri"/>
          <w:lang w:eastAsia="en-US"/>
        </w:rPr>
        <w:t>Ekonomistiem;</w:t>
      </w:r>
    </w:p>
    <w:p w:rsidR="009B28B9" w:rsidRPr="009B28B9" w:rsidRDefault="009B28B9" w:rsidP="002B5F96">
      <w:pPr>
        <w:suppressAutoHyphens/>
        <w:autoSpaceDN w:val="0"/>
        <w:textAlignment w:val="baseline"/>
        <w:rPr>
          <w:rFonts w:eastAsia="Calibri"/>
          <w:lang w:eastAsia="en-US"/>
        </w:rPr>
      </w:pPr>
      <w:r w:rsidRPr="009B28B9">
        <w:rPr>
          <w:rFonts w:eastAsia="Calibri"/>
          <w:lang w:eastAsia="en-US"/>
        </w:rPr>
        <w:t>7.15. Katvaru pagasta pārvaldes;</w:t>
      </w:r>
    </w:p>
    <w:p w:rsidR="009B28B9" w:rsidRPr="009B28B9" w:rsidRDefault="009B28B9" w:rsidP="002B5F96">
      <w:pPr>
        <w:suppressAutoHyphens/>
        <w:autoSpaceDN w:val="0"/>
        <w:textAlignment w:val="baseline"/>
        <w:rPr>
          <w:rFonts w:eastAsia="Calibri"/>
          <w:lang w:eastAsia="en-US"/>
        </w:rPr>
      </w:pPr>
      <w:r w:rsidRPr="009B28B9">
        <w:rPr>
          <w:rFonts w:eastAsia="Calibri"/>
          <w:lang w:eastAsia="en-US"/>
        </w:rPr>
        <w:t>7.16. Limbažu pagasta pārvaldes;</w:t>
      </w:r>
    </w:p>
    <w:p w:rsidR="009B28B9" w:rsidRPr="009B28B9" w:rsidRDefault="009B28B9" w:rsidP="002B5F96">
      <w:pPr>
        <w:suppressAutoHyphens/>
        <w:autoSpaceDN w:val="0"/>
        <w:textAlignment w:val="baseline"/>
        <w:rPr>
          <w:rFonts w:eastAsia="Calibri"/>
          <w:lang w:eastAsia="en-US"/>
        </w:rPr>
      </w:pPr>
      <w:r w:rsidRPr="009B28B9">
        <w:rPr>
          <w:rFonts w:eastAsia="Calibri"/>
          <w:lang w:eastAsia="en-US"/>
        </w:rPr>
        <w:t>7.17. Pāles pagasta pārvaldes;</w:t>
      </w:r>
    </w:p>
    <w:p w:rsidR="009B28B9" w:rsidRPr="009B28B9" w:rsidRDefault="009B28B9" w:rsidP="002B5F96">
      <w:pPr>
        <w:suppressAutoHyphens/>
        <w:autoSpaceDN w:val="0"/>
        <w:textAlignment w:val="baseline"/>
        <w:rPr>
          <w:rFonts w:eastAsia="Calibri"/>
          <w:lang w:eastAsia="en-US"/>
        </w:rPr>
      </w:pPr>
      <w:r w:rsidRPr="009B28B9">
        <w:rPr>
          <w:rFonts w:eastAsia="Calibri"/>
          <w:lang w:eastAsia="en-US"/>
        </w:rPr>
        <w:t>7.18. Skultes pagasta pārvaldes;</w:t>
      </w:r>
    </w:p>
    <w:p w:rsidR="009B28B9" w:rsidRPr="009B28B9" w:rsidRDefault="009B28B9" w:rsidP="002B5F96">
      <w:pPr>
        <w:suppressAutoHyphens/>
        <w:autoSpaceDN w:val="0"/>
        <w:textAlignment w:val="baseline"/>
        <w:rPr>
          <w:rFonts w:eastAsia="Calibri"/>
          <w:lang w:eastAsia="en-US"/>
        </w:rPr>
      </w:pPr>
      <w:r w:rsidRPr="009B28B9">
        <w:rPr>
          <w:rFonts w:eastAsia="Calibri"/>
          <w:lang w:eastAsia="en-US"/>
        </w:rPr>
        <w:t>7.19. Umurgas pagasta pārvaldes;</w:t>
      </w:r>
    </w:p>
    <w:p w:rsidR="009B28B9" w:rsidRPr="009B28B9" w:rsidRDefault="009B28B9" w:rsidP="002B5F96">
      <w:pPr>
        <w:suppressAutoHyphens/>
        <w:autoSpaceDN w:val="0"/>
        <w:textAlignment w:val="baseline"/>
        <w:rPr>
          <w:rFonts w:eastAsia="Calibri"/>
          <w:lang w:eastAsia="en-US"/>
        </w:rPr>
      </w:pPr>
      <w:r w:rsidRPr="009B28B9">
        <w:rPr>
          <w:rFonts w:eastAsia="Calibri"/>
          <w:lang w:eastAsia="en-US"/>
        </w:rPr>
        <w:t>7.20. Vidrižu pagasta pārvaldes;</w:t>
      </w:r>
    </w:p>
    <w:p w:rsidR="009B28B9" w:rsidRDefault="009B28B9" w:rsidP="002B5F96">
      <w:pPr>
        <w:suppressAutoHyphens/>
        <w:autoSpaceDN w:val="0"/>
        <w:textAlignment w:val="baseline"/>
        <w:rPr>
          <w:rFonts w:eastAsia="Calibri"/>
          <w:lang w:eastAsia="en-US"/>
        </w:rPr>
      </w:pPr>
      <w:r w:rsidRPr="009B28B9">
        <w:rPr>
          <w:rFonts w:eastAsia="Calibri"/>
          <w:lang w:eastAsia="en-US"/>
        </w:rPr>
        <w:t>7.21. Viļķenes pagasta pārvaldes.”</w:t>
      </w:r>
    </w:p>
    <w:p w:rsidR="00894F7D" w:rsidRPr="009B28B9" w:rsidRDefault="00894F7D" w:rsidP="009740B9">
      <w:pPr>
        <w:suppressAutoHyphens/>
        <w:autoSpaceDN w:val="0"/>
        <w:ind w:left="720"/>
        <w:textAlignment w:val="baseline"/>
        <w:rPr>
          <w:rFonts w:eastAsia="Calibri"/>
          <w:lang w:eastAsia="en-US"/>
        </w:rPr>
      </w:pPr>
    </w:p>
    <w:p w:rsidR="009B28B9" w:rsidRPr="009B28B9" w:rsidRDefault="009B28B9" w:rsidP="00894F7D">
      <w:pPr>
        <w:numPr>
          <w:ilvl w:val="0"/>
          <w:numId w:val="4"/>
        </w:numPr>
        <w:suppressAutoHyphens/>
        <w:autoSpaceDN w:val="0"/>
        <w:ind w:left="357" w:hanging="357"/>
        <w:jc w:val="both"/>
        <w:textAlignment w:val="baseline"/>
      </w:pPr>
      <w:r w:rsidRPr="009B28B9">
        <w:rPr>
          <w:rFonts w:eastAsia="Calibri"/>
          <w:szCs w:val="22"/>
          <w:lang w:eastAsia="en-US"/>
        </w:rPr>
        <w:t>Papildināt ar 7.</w:t>
      </w:r>
      <w:r w:rsidRPr="009B28B9">
        <w:rPr>
          <w:rFonts w:eastAsia="Calibri"/>
          <w:szCs w:val="22"/>
          <w:vertAlign w:val="superscript"/>
          <w:lang w:eastAsia="en-US"/>
        </w:rPr>
        <w:t xml:space="preserve">1 </w:t>
      </w:r>
      <w:r w:rsidRPr="009B28B9">
        <w:rPr>
          <w:rFonts w:eastAsia="Calibri"/>
          <w:szCs w:val="22"/>
          <w:lang w:eastAsia="en-US"/>
        </w:rPr>
        <w:t>punktu šādā redakcijā:</w:t>
      </w:r>
    </w:p>
    <w:p w:rsidR="009B28B9" w:rsidRDefault="009B28B9" w:rsidP="009B28B9">
      <w:pPr>
        <w:suppressAutoHyphens/>
        <w:autoSpaceDN w:val="0"/>
        <w:jc w:val="both"/>
        <w:textAlignment w:val="baseline"/>
        <w:rPr>
          <w:color w:val="000000"/>
        </w:rPr>
      </w:pPr>
      <w:r w:rsidRPr="009B28B9">
        <w:t>“7.</w:t>
      </w:r>
      <w:r w:rsidRPr="009B28B9">
        <w:rPr>
          <w:vertAlign w:val="superscript"/>
        </w:rPr>
        <w:t xml:space="preserve">1 </w:t>
      </w:r>
      <w:r w:rsidRPr="009B28B9">
        <w:rPr>
          <w:color w:val="000000"/>
        </w:rPr>
        <w:t>Administrācijas tiesības un pienākumi tiek noteikti saskaņā ar administrācijas nolikumu, ko apstiprina dome.”</w:t>
      </w:r>
    </w:p>
    <w:p w:rsidR="00894F7D" w:rsidRPr="009B28B9" w:rsidRDefault="00894F7D" w:rsidP="009B28B9">
      <w:pPr>
        <w:suppressAutoHyphens/>
        <w:autoSpaceDN w:val="0"/>
        <w:jc w:val="both"/>
        <w:textAlignment w:val="baseline"/>
      </w:pPr>
    </w:p>
    <w:p w:rsidR="009B28B9" w:rsidRPr="009B28B9" w:rsidRDefault="009B28B9" w:rsidP="00894F7D">
      <w:pPr>
        <w:numPr>
          <w:ilvl w:val="0"/>
          <w:numId w:val="4"/>
        </w:numPr>
        <w:suppressAutoHyphens/>
        <w:autoSpaceDN w:val="0"/>
        <w:ind w:left="357" w:hanging="357"/>
        <w:jc w:val="both"/>
        <w:textAlignment w:val="baseline"/>
        <w:rPr>
          <w:rFonts w:eastAsia="Calibri"/>
          <w:szCs w:val="22"/>
          <w:lang w:eastAsia="en-US"/>
        </w:rPr>
      </w:pPr>
      <w:r w:rsidRPr="009B28B9">
        <w:rPr>
          <w:rFonts w:eastAsia="Calibri"/>
          <w:szCs w:val="22"/>
          <w:lang w:eastAsia="en-US"/>
        </w:rPr>
        <w:t>Izteikt 15.punktu šādā redakcijā:</w:t>
      </w:r>
    </w:p>
    <w:p w:rsidR="009B28B9" w:rsidRDefault="009B28B9" w:rsidP="009B28B9">
      <w:pPr>
        <w:tabs>
          <w:tab w:val="left" w:pos="540"/>
        </w:tabs>
        <w:suppressAutoHyphens/>
        <w:autoSpaceDN w:val="0"/>
        <w:jc w:val="both"/>
        <w:textAlignment w:val="baseline"/>
      </w:pPr>
      <w:r w:rsidRPr="009B28B9">
        <w:rPr>
          <w:rFonts w:eastAsia="Calibri"/>
          <w:szCs w:val="22"/>
          <w:lang w:eastAsia="en-US"/>
        </w:rPr>
        <w:t xml:space="preserve">“15. </w:t>
      </w:r>
      <w:r w:rsidRPr="009B28B9">
        <w:t>Pašvaldības sniegto pakalpojumu pieejamību, saskaņā ar pagastu pārvaldes (turpmāk – vietējā pārvalde) nolikumu pašvaldības teritorijā nodrošina vietējās pārvaldes, kas ir Limbažu novada pašv</w:t>
      </w:r>
      <w:r w:rsidR="00321BF5">
        <w:t>aldības administrācijas sastāvā.</w:t>
      </w:r>
      <w:r w:rsidR="00404E2D">
        <w:t>”</w:t>
      </w:r>
    </w:p>
    <w:p w:rsidR="00894F7D" w:rsidRPr="009B28B9" w:rsidRDefault="00894F7D" w:rsidP="009B28B9">
      <w:pPr>
        <w:tabs>
          <w:tab w:val="left" w:pos="540"/>
        </w:tabs>
        <w:suppressAutoHyphens/>
        <w:autoSpaceDN w:val="0"/>
        <w:jc w:val="both"/>
        <w:textAlignment w:val="baseline"/>
      </w:pPr>
    </w:p>
    <w:p w:rsidR="009B28B9" w:rsidRPr="009B28B9" w:rsidRDefault="003930CA" w:rsidP="009740B9">
      <w:pPr>
        <w:numPr>
          <w:ilvl w:val="0"/>
          <w:numId w:val="4"/>
        </w:numPr>
        <w:suppressAutoHyphens/>
        <w:autoSpaceDN w:val="0"/>
        <w:ind w:left="360"/>
        <w:jc w:val="both"/>
        <w:textAlignment w:val="baseline"/>
      </w:pPr>
      <w:r>
        <w:rPr>
          <w:rFonts w:eastAsia="Calibri"/>
          <w:szCs w:val="22"/>
          <w:lang w:eastAsia="en-US"/>
        </w:rPr>
        <w:lastRenderedPageBreak/>
        <w:t>Svītrot</w:t>
      </w:r>
      <w:r w:rsidR="009B28B9" w:rsidRPr="009B28B9">
        <w:rPr>
          <w:rFonts w:eastAsia="Calibri"/>
          <w:szCs w:val="22"/>
          <w:lang w:eastAsia="en-US"/>
        </w:rPr>
        <w:t xml:space="preserve"> 15.1. - 15.8. apakšpunktus.</w:t>
      </w:r>
    </w:p>
    <w:p w:rsidR="009B28B9" w:rsidRDefault="002A7FF1" w:rsidP="009740B9">
      <w:pPr>
        <w:numPr>
          <w:ilvl w:val="0"/>
          <w:numId w:val="4"/>
        </w:numPr>
        <w:suppressAutoHyphens/>
        <w:autoSpaceDN w:val="0"/>
        <w:ind w:left="360"/>
        <w:jc w:val="both"/>
        <w:textAlignment w:val="baseline"/>
      </w:pPr>
      <w:r>
        <w:t>I</w:t>
      </w:r>
      <w:r w:rsidR="00C8395D">
        <w:t xml:space="preserve">zteikt </w:t>
      </w:r>
      <w:r w:rsidR="00407961">
        <w:t>saistošo noteikumu</w:t>
      </w:r>
      <w:r w:rsidR="00C8395D">
        <w:t xml:space="preserve"> pielikumu jaunā redakcijā.</w:t>
      </w:r>
    </w:p>
    <w:p w:rsidR="00C8395D" w:rsidRDefault="00C8395D" w:rsidP="009740B9">
      <w:pPr>
        <w:numPr>
          <w:ilvl w:val="0"/>
          <w:numId w:val="4"/>
        </w:numPr>
        <w:suppressAutoHyphens/>
        <w:autoSpaceDN w:val="0"/>
        <w:ind w:left="360"/>
        <w:jc w:val="both"/>
        <w:textAlignment w:val="baseline"/>
      </w:pPr>
      <w:r>
        <w:t>Saistošie noteikumi stājas spēkā nākamajā dienā pēc parakstīšanas.</w:t>
      </w:r>
    </w:p>
    <w:p w:rsidR="00A073EF" w:rsidRPr="00F33075" w:rsidRDefault="00A073EF" w:rsidP="009740B9">
      <w:pPr>
        <w:pStyle w:val="Sarakstarindkopa"/>
        <w:spacing w:after="0" w:line="240" w:lineRule="auto"/>
      </w:pPr>
    </w:p>
    <w:p w:rsidR="00A073EF" w:rsidRPr="00F33075" w:rsidRDefault="00A073EF" w:rsidP="009740B9">
      <w:pPr>
        <w:jc w:val="both"/>
      </w:pPr>
    </w:p>
    <w:p w:rsidR="00A073EF" w:rsidRPr="00F33075" w:rsidRDefault="00A073EF" w:rsidP="00A073EF">
      <w:pPr>
        <w:ind w:right="43"/>
        <w:contextualSpacing/>
        <w:rPr>
          <w:rFonts w:eastAsia="Calibri"/>
        </w:rPr>
      </w:pPr>
      <w:r w:rsidRPr="00F33075">
        <w:rPr>
          <w:rFonts w:eastAsia="Calibri"/>
        </w:rPr>
        <w:t>Limbažu novada pašvaldības</w:t>
      </w:r>
    </w:p>
    <w:p w:rsidR="00A073EF" w:rsidRPr="00F33075" w:rsidRDefault="00A073EF" w:rsidP="00A073EF">
      <w:pPr>
        <w:tabs>
          <w:tab w:val="left" w:pos="4678"/>
          <w:tab w:val="left" w:pos="8364"/>
        </w:tabs>
        <w:ind w:right="43"/>
        <w:contextualSpacing/>
        <w:rPr>
          <w:rFonts w:eastAsia="Calibri"/>
        </w:rPr>
      </w:pPr>
      <w:r w:rsidRPr="00F33075">
        <w:rPr>
          <w:rFonts w:eastAsia="Calibri"/>
        </w:rPr>
        <w:t>Domes priekšsēdētājs</w:t>
      </w:r>
      <w:r w:rsidRPr="00F33075">
        <w:rPr>
          <w:rFonts w:eastAsia="Calibri"/>
        </w:rPr>
        <w:tab/>
      </w:r>
      <w:r w:rsidRPr="00F33075">
        <w:rPr>
          <w:rFonts w:eastAsia="Calibri"/>
        </w:rPr>
        <w:tab/>
      </w:r>
      <w:proofErr w:type="spellStart"/>
      <w:r w:rsidRPr="00F33075">
        <w:rPr>
          <w:rFonts w:eastAsia="Calibri"/>
        </w:rPr>
        <w:t>D.Zemmers</w:t>
      </w:r>
      <w:proofErr w:type="spellEnd"/>
    </w:p>
    <w:sectPr w:rsidR="00A073EF" w:rsidRPr="00F33075" w:rsidSect="003A44ED">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F4" w:rsidRDefault="00787BF4" w:rsidP="00D0139E">
      <w:r>
        <w:separator/>
      </w:r>
    </w:p>
  </w:endnote>
  <w:endnote w:type="continuationSeparator" w:id="0">
    <w:p w:rsidR="00787BF4" w:rsidRDefault="00787BF4" w:rsidP="00D0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F4" w:rsidRDefault="00787BF4" w:rsidP="00D0139E">
      <w:r>
        <w:separator/>
      </w:r>
    </w:p>
  </w:footnote>
  <w:footnote w:type="continuationSeparator" w:id="0">
    <w:p w:rsidR="00787BF4" w:rsidRDefault="00787BF4" w:rsidP="00D01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9A" w:rsidRDefault="00FE3D9A">
    <w:pPr>
      <w:pStyle w:val="Galvene"/>
      <w:jc w:val="center"/>
    </w:pPr>
  </w:p>
  <w:p w:rsidR="009740B9" w:rsidRDefault="009740B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0B9" w:rsidRDefault="009740B9">
    <w:pPr>
      <w:pStyle w:val="Galvene"/>
    </w:pPr>
    <w:r>
      <w:rPr>
        <w:noProof/>
      </w:rPr>
      <w:drawing>
        <wp:anchor distT="0" distB="0" distL="114300" distR="114300" simplePos="0" relativeHeight="251658240" behindDoc="1" locked="0" layoutInCell="1" allowOverlap="0">
          <wp:simplePos x="0" y="0"/>
          <wp:positionH relativeFrom="column">
            <wp:posOffset>-1049655</wp:posOffset>
          </wp:positionH>
          <wp:positionV relativeFrom="paragraph">
            <wp:posOffset>-454025</wp:posOffset>
          </wp:positionV>
          <wp:extent cx="7548880" cy="2334895"/>
          <wp:effectExtent l="0" t="0" r="0" b="8255"/>
          <wp:wrapTight wrapText="bothSides">
            <wp:wrapPolygon edited="0">
              <wp:start x="0" y="0"/>
              <wp:lineTo x="0" y="21500"/>
              <wp:lineTo x="21531" y="21500"/>
              <wp:lineTo x="21531"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2334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5124"/>
    <w:multiLevelType w:val="multilevel"/>
    <w:tmpl w:val="0624059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EF73BA"/>
    <w:multiLevelType w:val="multilevel"/>
    <w:tmpl w:val="C9F41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E46523"/>
    <w:multiLevelType w:val="hybridMultilevel"/>
    <w:tmpl w:val="0EC034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EF"/>
    <w:rsid w:val="00037D7A"/>
    <w:rsid w:val="000930EC"/>
    <w:rsid w:val="00096A9B"/>
    <w:rsid w:val="000B0930"/>
    <w:rsid w:val="002A7FF1"/>
    <w:rsid w:val="002B5F96"/>
    <w:rsid w:val="00317525"/>
    <w:rsid w:val="00321BF5"/>
    <w:rsid w:val="00360949"/>
    <w:rsid w:val="003930CA"/>
    <w:rsid w:val="003A44ED"/>
    <w:rsid w:val="00404E2D"/>
    <w:rsid w:val="00407961"/>
    <w:rsid w:val="004E46F2"/>
    <w:rsid w:val="005F1E4A"/>
    <w:rsid w:val="006A4A7A"/>
    <w:rsid w:val="00723891"/>
    <w:rsid w:val="00787BF4"/>
    <w:rsid w:val="00894F7D"/>
    <w:rsid w:val="008A6D86"/>
    <w:rsid w:val="009740B9"/>
    <w:rsid w:val="009B28B9"/>
    <w:rsid w:val="009D0D8C"/>
    <w:rsid w:val="009E7C0F"/>
    <w:rsid w:val="00A073EF"/>
    <w:rsid w:val="00A14894"/>
    <w:rsid w:val="00A513B2"/>
    <w:rsid w:val="00AB177A"/>
    <w:rsid w:val="00BE6FFA"/>
    <w:rsid w:val="00C8395D"/>
    <w:rsid w:val="00D0139E"/>
    <w:rsid w:val="00D40D01"/>
    <w:rsid w:val="00D64168"/>
    <w:rsid w:val="00D8192D"/>
    <w:rsid w:val="00D84FBA"/>
    <w:rsid w:val="00DE35DD"/>
    <w:rsid w:val="00DE6BDA"/>
    <w:rsid w:val="00E15DDD"/>
    <w:rsid w:val="00F42329"/>
    <w:rsid w:val="00FE3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0D26D4-EDC0-4BAA-9D63-BEED1995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073E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073EF"/>
    <w:pPr>
      <w:spacing w:after="200" w:line="276" w:lineRule="auto"/>
      <w:ind w:left="720"/>
      <w:contextualSpacing/>
      <w:jc w:val="both"/>
    </w:pPr>
    <w:rPr>
      <w:rFonts w:eastAsiaTheme="minorHAnsi" w:cstheme="minorBidi"/>
      <w:szCs w:val="22"/>
      <w:lang w:eastAsia="en-US"/>
    </w:rPr>
  </w:style>
  <w:style w:type="paragraph" w:customStyle="1" w:styleId="Default">
    <w:name w:val="Default"/>
    <w:qFormat/>
    <w:rsid w:val="00A073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Parasts"/>
    <w:rsid w:val="00A073EF"/>
    <w:pPr>
      <w:widowControl w:val="0"/>
      <w:autoSpaceDE w:val="0"/>
      <w:autoSpaceDN w:val="0"/>
      <w:adjustRightInd w:val="0"/>
      <w:spacing w:line="244" w:lineRule="exact"/>
      <w:jc w:val="right"/>
    </w:pPr>
  </w:style>
  <w:style w:type="character" w:styleId="Hipersaite">
    <w:name w:val="Hyperlink"/>
    <w:basedOn w:val="Noklusjumarindkopasfonts"/>
    <w:uiPriority w:val="99"/>
    <w:unhideWhenUsed/>
    <w:rsid w:val="00A073EF"/>
    <w:rPr>
      <w:color w:val="0000FF" w:themeColor="hyperlink"/>
      <w:u w:val="single"/>
    </w:rPr>
  </w:style>
  <w:style w:type="paragraph" w:styleId="Galvene">
    <w:name w:val="header"/>
    <w:basedOn w:val="Parasts"/>
    <w:link w:val="GalveneRakstz"/>
    <w:uiPriority w:val="99"/>
    <w:unhideWhenUsed/>
    <w:rsid w:val="00D0139E"/>
    <w:pPr>
      <w:tabs>
        <w:tab w:val="center" w:pos="4153"/>
        <w:tab w:val="right" w:pos="8306"/>
      </w:tabs>
    </w:pPr>
  </w:style>
  <w:style w:type="character" w:customStyle="1" w:styleId="GalveneRakstz">
    <w:name w:val="Galvene Rakstz."/>
    <w:basedOn w:val="Noklusjumarindkopasfonts"/>
    <w:link w:val="Galvene"/>
    <w:uiPriority w:val="99"/>
    <w:rsid w:val="00D0139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0139E"/>
    <w:pPr>
      <w:tabs>
        <w:tab w:val="center" w:pos="4153"/>
        <w:tab w:val="right" w:pos="8306"/>
      </w:tabs>
    </w:pPr>
  </w:style>
  <w:style w:type="character" w:customStyle="1" w:styleId="KjeneRakstz">
    <w:name w:val="Kājene Rakstz."/>
    <w:basedOn w:val="Noklusjumarindkopasfonts"/>
    <w:link w:val="Kjene"/>
    <w:uiPriority w:val="99"/>
    <w:rsid w:val="00D0139E"/>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B093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B0930"/>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304386">
      <w:bodyDiv w:val="1"/>
      <w:marLeft w:val="0"/>
      <w:marRight w:val="0"/>
      <w:marTop w:val="0"/>
      <w:marBottom w:val="0"/>
      <w:divBdr>
        <w:top w:val="none" w:sz="0" w:space="0" w:color="auto"/>
        <w:left w:val="none" w:sz="0" w:space="0" w:color="auto"/>
        <w:bottom w:val="none" w:sz="0" w:space="0" w:color="auto"/>
        <w:right w:val="none" w:sz="0" w:space="0" w:color="auto"/>
      </w:divBdr>
    </w:div>
    <w:div w:id="2049641793">
      <w:bodyDiv w:val="1"/>
      <w:marLeft w:val="0"/>
      <w:marRight w:val="0"/>
      <w:marTop w:val="0"/>
      <w:marBottom w:val="0"/>
      <w:divBdr>
        <w:top w:val="none" w:sz="0" w:space="0" w:color="auto"/>
        <w:left w:val="none" w:sz="0" w:space="0" w:color="auto"/>
        <w:bottom w:val="none" w:sz="0" w:space="0" w:color="auto"/>
        <w:right w:val="none" w:sz="0" w:space="0" w:color="auto"/>
      </w:divBdr>
      <w:divsChild>
        <w:div w:id="2065105263">
          <w:marLeft w:val="0"/>
          <w:marRight w:val="0"/>
          <w:marTop w:val="0"/>
          <w:marBottom w:val="0"/>
          <w:divBdr>
            <w:top w:val="none" w:sz="0" w:space="0" w:color="auto"/>
            <w:left w:val="none" w:sz="0" w:space="0" w:color="auto"/>
            <w:bottom w:val="none" w:sz="0" w:space="0" w:color="auto"/>
            <w:right w:val="none" w:sz="0" w:space="0" w:color="auto"/>
          </w:divBdr>
        </w:div>
        <w:div w:id="162413">
          <w:marLeft w:val="0"/>
          <w:marRight w:val="0"/>
          <w:marTop w:val="0"/>
          <w:marBottom w:val="0"/>
          <w:divBdr>
            <w:top w:val="none" w:sz="0" w:space="0" w:color="auto"/>
            <w:left w:val="none" w:sz="0" w:space="0" w:color="auto"/>
            <w:bottom w:val="none" w:sz="0" w:space="0" w:color="auto"/>
            <w:right w:val="none" w:sz="0" w:space="0" w:color="auto"/>
          </w:divBdr>
        </w:div>
        <w:div w:id="1434932501">
          <w:marLeft w:val="0"/>
          <w:marRight w:val="0"/>
          <w:marTop w:val="0"/>
          <w:marBottom w:val="0"/>
          <w:divBdr>
            <w:top w:val="none" w:sz="0" w:space="0" w:color="auto"/>
            <w:left w:val="none" w:sz="0" w:space="0" w:color="auto"/>
            <w:bottom w:val="none" w:sz="0" w:space="0" w:color="auto"/>
            <w:right w:val="none" w:sz="0" w:space="0" w:color="auto"/>
          </w:divBdr>
        </w:div>
        <w:div w:id="410859298">
          <w:marLeft w:val="0"/>
          <w:marRight w:val="0"/>
          <w:marTop w:val="0"/>
          <w:marBottom w:val="0"/>
          <w:divBdr>
            <w:top w:val="none" w:sz="0" w:space="0" w:color="auto"/>
            <w:left w:val="none" w:sz="0" w:space="0" w:color="auto"/>
            <w:bottom w:val="none" w:sz="0" w:space="0" w:color="auto"/>
            <w:right w:val="none" w:sz="0" w:space="0" w:color="auto"/>
          </w:divBdr>
        </w:div>
        <w:div w:id="891111341">
          <w:marLeft w:val="0"/>
          <w:marRight w:val="0"/>
          <w:marTop w:val="0"/>
          <w:marBottom w:val="0"/>
          <w:divBdr>
            <w:top w:val="none" w:sz="0" w:space="0" w:color="auto"/>
            <w:left w:val="none" w:sz="0" w:space="0" w:color="auto"/>
            <w:bottom w:val="none" w:sz="0" w:space="0" w:color="auto"/>
            <w:right w:val="none" w:sz="0" w:space="0" w:color="auto"/>
          </w:divBdr>
        </w:div>
        <w:div w:id="1628271245">
          <w:marLeft w:val="0"/>
          <w:marRight w:val="0"/>
          <w:marTop w:val="0"/>
          <w:marBottom w:val="0"/>
          <w:divBdr>
            <w:top w:val="none" w:sz="0" w:space="0" w:color="auto"/>
            <w:left w:val="none" w:sz="0" w:space="0" w:color="auto"/>
            <w:bottom w:val="none" w:sz="0" w:space="0" w:color="auto"/>
            <w:right w:val="none" w:sz="0" w:space="0" w:color="auto"/>
          </w:divBdr>
        </w:div>
        <w:div w:id="749666590">
          <w:marLeft w:val="0"/>
          <w:marRight w:val="0"/>
          <w:marTop w:val="0"/>
          <w:marBottom w:val="0"/>
          <w:divBdr>
            <w:top w:val="none" w:sz="0" w:space="0" w:color="auto"/>
            <w:left w:val="none" w:sz="0" w:space="0" w:color="auto"/>
            <w:bottom w:val="none" w:sz="0" w:space="0" w:color="auto"/>
            <w:right w:val="none" w:sz="0" w:space="0" w:color="auto"/>
          </w:divBdr>
        </w:div>
        <w:div w:id="1640264472">
          <w:marLeft w:val="0"/>
          <w:marRight w:val="0"/>
          <w:marTop w:val="0"/>
          <w:marBottom w:val="0"/>
          <w:divBdr>
            <w:top w:val="none" w:sz="0" w:space="0" w:color="auto"/>
            <w:left w:val="none" w:sz="0" w:space="0" w:color="auto"/>
            <w:bottom w:val="none" w:sz="0" w:space="0" w:color="auto"/>
            <w:right w:val="none" w:sz="0" w:space="0" w:color="auto"/>
          </w:divBdr>
        </w:div>
        <w:div w:id="2135782744">
          <w:marLeft w:val="0"/>
          <w:marRight w:val="0"/>
          <w:marTop w:val="0"/>
          <w:marBottom w:val="0"/>
          <w:divBdr>
            <w:top w:val="none" w:sz="0" w:space="0" w:color="auto"/>
            <w:left w:val="none" w:sz="0" w:space="0" w:color="auto"/>
            <w:bottom w:val="none" w:sz="0" w:space="0" w:color="auto"/>
            <w:right w:val="none" w:sz="0" w:space="0" w:color="auto"/>
          </w:divBdr>
        </w:div>
        <w:div w:id="1384452021">
          <w:marLeft w:val="0"/>
          <w:marRight w:val="0"/>
          <w:marTop w:val="0"/>
          <w:marBottom w:val="0"/>
          <w:divBdr>
            <w:top w:val="none" w:sz="0" w:space="0" w:color="auto"/>
            <w:left w:val="none" w:sz="0" w:space="0" w:color="auto"/>
            <w:bottom w:val="none" w:sz="0" w:space="0" w:color="auto"/>
            <w:right w:val="none" w:sz="0" w:space="0" w:color="auto"/>
          </w:divBdr>
        </w:div>
        <w:div w:id="506024139">
          <w:marLeft w:val="0"/>
          <w:marRight w:val="0"/>
          <w:marTop w:val="0"/>
          <w:marBottom w:val="0"/>
          <w:divBdr>
            <w:top w:val="none" w:sz="0" w:space="0" w:color="auto"/>
            <w:left w:val="none" w:sz="0" w:space="0" w:color="auto"/>
            <w:bottom w:val="none" w:sz="0" w:space="0" w:color="auto"/>
            <w:right w:val="none" w:sz="0" w:space="0" w:color="auto"/>
          </w:divBdr>
        </w:div>
        <w:div w:id="492723135">
          <w:marLeft w:val="0"/>
          <w:marRight w:val="0"/>
          <w:marTop w:val="0"/>
          <w:marBottom w:val="0"/>
          <w:divBdr>
            <w:top w:val="none" w:sz="0" w:space="0" w:color="auto"/>
            <w:left w:val="none" w:sz="0" w:space="0" w:color="auto"/>
            <w:bottom w:val="none" w:sz="0" w:space="0" w:color="auto"/>
            <w:right w:val="none" w:sz="0" w:space="0" w:color="auto"/>
          </w:divBdr>
        </w:div>
        <w:div w:id="1620992235">
          <w:marLeft w:val="0"/>
          <w:marRight w:val="0"/>
          <w:marTop w:val="0"/>
          <w:marBottom w:val="0"/>
          <w:divBdr>
            <w:top w:val="none" w:sz="0" w:space="0" w:color="auto"/>
            <w:left w:val="none" w:sz="0" w:space="0" w:color="auto"/>
            <w:bottom w:val="none" w:sz="0" w:space="0" w:color="auto"/>
            <w:right w:val="none" w:sz="0" w:space="0" w:color="auto"/>
          </w:divBdr>
        </w:div>
        <w:div w:id="1097562249">
          <w:marLeft w:val="0"/>
          <w:marRight w:val="0"/>
          <w:marTop w:val="0"/>
          <w:marBottom w:val="0"/>
          <w:divBdr>
            <w:top w:val="none" w:sz="0" w:space="0" w:color="auto"/>
            <w:left w:val="none" w:sz="0" w:space="0" w:color="auto"/>
            <w:bottom w:val="none" w:sz="0" w:space="0" w:color="auto"/>
            <w:right w:val="none" w:sz="0" w:space="0" w:color="auto"/>
          </w:divBdr>
        </w:div>
        <w:div w:id="1076778954">
          <w:marLeft w:val="0"/>
          <w:marRight w:val="0"/>
          <w:marTop w:val="0"/>
          <w:marBottom w:val="0"/>
          <w:divBdr>
            <w:top w:val="none" w:sz="0" w:space="0" w:color="auto"/>
            <w:left w:val="none" w:sz="0" w:space="0" w:color="auto"/>
            <w:bottom w:val="none" w:sz="0" w:space="0" w:color="auto"/>
            <w:right w:val="none" w:sz="0" w:space="0" w:color="auto"/>
          </w:divBdr>
        </w:div>
        <w:div w:id="143009818">
          <w:marLeft w:val="0"/>
          <w:marRight w:val="0"/>
          <w:marTop w:val="0"/>
          <w:marBottom w:val="0"/>
          <w:divBdr>
            <w:top w:val="none" w:sz="0" w:space="0" w:color="auto"/>
            <w:left w:val="none" w:sz="0" w:space="0" w:color="auto"/>
            <w:bottom w:val="none" w:sz="0" w:space="0" w:color="auto"/>
            <w:right w:val="none" w:sz="0" w:space="0" w:color="auto"/>
          </w:divBdr>
        </w:div>
        <w:div w:id="2091149970">
          <w:marLeft w:val="0"/>
          <w:marRight w:val="0"/>
          <w:marTop w:val="0"/>
          <w:marBottom w:val="0"/>
          <w:divBdr>
            <w:top w:val="none" w:sz="0" w:space="0" w:color="auto"/>
            <w:left w:val="none" w:sz="0" w:space="0" w:color="auto"/>
            <w:bottom w:val="none" w:sz="0" w:space="0" w:color="auto"/>
            <w:right w:val="none" w:sz="0" w:space="0" w:color="auto"/>
          </w:divBdr>
        </w:div>
        <w:div w:id="113868383">
          <w:marLeft w:val="0"/>
          <w:marRight w:val="0"/>
          <w:marTop w:val="0"/>
          <w:marBottom w:val="0"/>
          <w:divBdr>
            <w:top w:val="none" w:sz="0" w:space="0" w:color="auto"/>
            <w:left w:val="none" w:sz="0" w:space="0" w:color="auto"/>
            <w:bottom w:val="none" w:sz="0" w:space="0" w:color="auto"/>
            <w:right w:val="none" w:sz="0" w:space="0" w:color="auto"/>
          </w:divBdr>
        </w:div>
        <w:div w:id="846016859">
          <w:marLeft w:val="0"/>
          <w:marRight w:val="0"/>
          <w:marTop w:val="0"/>
          <w:marBottom w:val="0"/>
          <w:divBdr>
            <w:top w:val="none" w:sz="0" w:space="0" w:color="auto"/>
            <w:left w:val="none" w:sz="0" w:space="0" w:color="auto"/>
            <w:bottom w:val="none" w:sz="0" w:space="0" w:color="auto"/>
            <w:right w:val="none" w:sz="0" w:space="0" w:color="auto"/>
          </w:divBdr>
        </w:div>
        <w:div w:id="58024134">
          <w:marLeft w:val="0"/>
          <w:marRight w:val="0"/>
          <w:marTop w:val="0"/>
          <w:marBottom w:val="0"/>
          <w:divBdr>
            <w:top w:val="none" w:sz="0" w:space="0" w:color="auto"/>
            <w:left w:val="none" w:sz="0" w:space="0" w:color="auto"/>
            <w:bottom w:val="none" w:sz="0" w:space="0" w:color="auto"/>
            <w:right w:val="none" w:sz="0" w:space="0" w:color="auto"/>
          </w:divBdr>
        </w:div>
        <w:div w:id="64959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1875</Words>
  <Characters>1069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Zālīte</dc:creator>
  <cp:lastModifiedBy>Aija Kamala</cp:lastModifiedBy>
  <cp:revision>2</cp:revision>
  <cp:lastPrinted>2018-04-03T07:26:00Z</cp:lastPrinted>
  <dcterms:created xsi:type="dcterms:W3CDTF">2018-04-03T12:26:00Z</dcterms:created>
  <dcterms:modified xsi:type="dcterms:W3CDTF">2018-04-03T12:26:00Z</dcterms:modified>
</cp:coreProperties>
</file>