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AB" w:rsidRPr="00B74924" w:rsidRDefault="00590166" w:rsidP="00A708AB">
      <w:pPr>
        <w:pStyle w:val="Sarakstarindkopa"/>
        <w:ind w:right="-45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708AB" w:rsidRPr="00B74924">
        <w:rPr>
          <w:rFonts w:ascii="Times New Roman" w:hAnsi="Times New Roman"/>
          <w:b/>
          <w:sz w:val="24"/>
          <w:szCs w:val="24"/>
        </w:rPr>
        <w:t xml:space="preserve">.PIELIKUMS </w:t>
      </w:r>
    </w:p>
    <w:p w:rsidR="00A708AB" w:rsidRPr="006409B0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6409B0">
        <w:rPr>
          <w:rFonts w:ascii="Times New Roman" w:hAnsi="Times New Roman"/>
        </w:rPr>
        <w:t xml:space="preserve">Limbažu novada pašvaldības </w:t>
      </w:r>
    </w:p>
    <w:p w:rsidR="00A708AB" w:rsidRPr="006409B0" w:rsidRDefault="00F40592" w:rsidP="00A708AB">
      <w:pPr>
        <w:pStyle w:val="Sarakstarindkopa"/>
        <w:ind w:right="-4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2018.gada 30.</w:t>
      </w:r>
      <w:r w:rsidR="00A708AB" w:rsidRPr="006409B0">
        <w:rPr>
          <w:rFonts w:ascii="Times New Roman" w:hAnsi="Times New Roman"/>
        </w:rPr>
        <w:t xml:space="preserve">janvāra saistošajiem noteikumiem </w:t>
      </w:r>
    </w:p>
    <w:p w:rsidR="00A708AB" w:rsidRPr="006409B0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6409B0">
        <w:rPr>
          <w:rFonts w:ascii="Times New Roman" w:hAnsi="Times New Roman"/>
        </w:rPr>
        <w:t>Nr.</w:t>
      </w:r>
      <w:r w:rsidR="00F40592">
        <w:rPr>
          <w:rFonts w:ascii="Times New Roman" w:hAnsi="Times New Roman"/>
        </w:rPr>
        <w:t>3</w:t>
      </w:r>
      <w:r w:rsidRPr="006409B0">
        <w:rPr>
          <w:rFonts w:ascii="Times New Roman" w:hAnsi="Times New Roman"/>
        </w:rPr>
        <w:t xml:space="preserve"> "Par Limbažu novada pašvaldības 2018.gada pamatbudžetu </w:t>
      </w:r>
    </w:p>
    <w:p w:rsidR="00A708AB" w:rsidRPr="006409B0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6409B0">
        <w:rPr>
          <w:rFonts w:ascii="Times New Roman" w:hAnsi="Times New Roman"/>
        </w:rPr>
        <w:t>laikā no 2018.gada 1.janvāra līdz 2018.gada 31.decembrim"</w:t>
      </w:r>
    </w:p>
    <w:p w:rsidR="00A708AB" w:rsidRDefault="00A708AB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A708AB" w:rsidRPr="006409B0" w:rsidRDefault="00A708AB" w:rsidP="00590166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6409B0">
        <w:rPr>
          <w:rFonts w:ascii="Times New Roman" w:hAnsi="Times New Roman"/>
          <w:b/>
          <w:sz w:val="24"/>
          <w:szCs w:val="24"/>
        </w:rPr>
        <w:t>Limbažu novada pašvaldības 2018.gada budžetā plānotā</w:t>
      </w:r>
      <w:r w:rsidR="00590166" w:rsidRPr="006409B0">
        <w:rPr>
          <w:rFonts w:ascii="Times New Roman" w:hAnsi="Times New Roman"/>
          <w:b/>
          <w:sz w:val="24"/>
          <w:szCs w:val="24"/>
        </w:rPr>
        <w:t>s</w:t>
      </w:r>
      <w:r w:rsidRPr="006409B0">
        <w:rPr>
          <w:rFonts w:ascii="Times New Roman" w:hAnsi="Times New Roman"/>
          <w:b/>
          <w:sz w:val="24"/>
          <w:szCs w:val="24"/>
        </w:rPr>
        <w:t xml:space="preserve"> </w:t>
      </w:r>
      <w:r w:rsidR="00590166" w:rsidRPr="006409B0">
        <w:rPr>
          <w:rFonts w:ascii="Times New Roman" w:hAnsi="Times New Roman"/>
          <w:b/>
          <w:sz w:val="24"/>
          <w:szCs w:val="24"/>
        </w:rPr>
        <w:t xml:space="preserve">valsts mērķdotācijas pedagogu darba samaksai, VSAOI un mācību literatūras iegādei pirmskolas izglītības iestādēm </w:t>
      </w:r>
      <w:r w:rsidR="00930C8D" w:rsidRPr="006409B0">
        <w:rPr>
          <w:rFonts w:ascii="Times New Roman" w:hAnsi="Times New Roman"/>
          <w:b/>
          <w:sz w:val="24"/>
          <w:szCs w:val="24"/>
        </w:rPr>
        <w:t xml:space="preserve">un vispārējās izglītības iestādēm, kuras īsteno pirmskolas izglītības programmas no piecu gadu vecuma grupām </w:t>
      </w:r>
      <w:r w:rsidR="00590166" w:rsidRPr="006409B0">
        <w:rPr>
          <w:rFonts w:ascii="Times New Roman" w:hAnsi="Times New Roman"/>
          <w:b/>
          <w:sz w:val="24"/>
          <w:szCs w:val="24"/>
        </w:rPr>
        <w:t xml:space="preserve">no 2018.gada 1.janvāra līdz 31.augustam </w:t>
      </w:r>
      <w:r w:rsidRPr="006409B0">
        <w:rPr>
          <w:rFonts w:ascii="Times New Roman" w:hAnsi="Times New Roman"/>
          <w:b/>
          <w:sz w:val="24"/>
          <w:szCs w:val="24"/>
        </w:rPr>
        <w:t>kopsavilkums, EUR</w:t>
      </w:r>
    </w:p>
    <w:p w:rsidR="00590166" w:rsidRPr="006409B0" w:rsidRDefault="00590166" w:rsidP="00982492">
      <w:pPr>
        <w:pStyle w:val="Sarakstarindkopa"/>
        <w:spacing w:after="0"/>
        <w:ind w:right="-454"/>
        <w:rPr>
          <w:rFonts w:ascii="Times New Roman" w:hAnsi="Times New Roman"/>
          <w:i/>
          <w:sz w:val="24"/>
          <w:szCs w:val="24"/>
        </w:rPr>
      </w:pPr>
      <w:r w:rsidRPr="006409B0">
        <w:rPr>
          <w:rFonts w:ascii="Times New Roman" w:hAnsi="Times New Roman"/>
          <w:i/>
          <w:sz w:val="24"/>
          <w:szCs w:val="24"/>
        </w:rPr>
        <w:t>09.100 funkcija</w:t>
      </w:r>
    </w:p>
    <w:tbl>
      <w:tblPr>
        <w:tblW w:w="16252" w:type="dxa"/>
        <w:tblLayout w:type="fixed"/>
        <w:tblLook w:val="04A0" w:firstRow="1" w:lastRow="0" w:firstColumn="1" w:lastColumn="0" w:noHBand="0" w:noVBand="1"/>
      </w:tblPr>
      <w:tblGrid>
        <w:gridCol w:w="471"/>
        <w:gridCol w:w="1514"/>
        <w:gridCol w:w="1134"/>
        <w:gridCol w:w="992"/>
        <w:gridCol w:w="851"/>
        <w:gridCol w:w="850"/>
        <w:gridCol w:w="931"/>
        <w:gridCol w:w="986"/>
        <w:gridCol w:w="1077"/>
        <w:gridCol w:w="834"/>
        <w:gridCol w:w="916"/>
        <w:gridCol w:w="1037"/>
        <w:gridCol w:w="827"/>
        <w:gridCol w:w="732"/>
        <w:gridCol w:w="882"/>
        <w:gridCol w:w="849"/>
        <w:gridCol w:w="1369"/>
      </w:tblGrid>
      <w:tr w:rsidR="00590166" w:rsidRPr="00590166" w:rsidTr="00B66F6A">
        <w:trPr>
          <w:trHeight w:val="112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Iestāde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Atalgojums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 xml:space="preserve">Valsts soc. </w:t>
            </w:r>
            <w:proofErr w:type="spellStart"/>
            <w:r w:rsidRPr="00590166">
              <w:rPr>
                <w:b/>
                <w:bCs/>
                <w:sz w:val="18"/>
                <w:szCs w:val="18"/>
              </w:rPr>
              <w:t>apdr</w:t>
            </w:r>
            <w:proofErr w:type="spellEnd"/>
            <w:r w:rsidRPr="00590166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90166">
              <w:rPr>
                <w:b/>
                <w:bCs/>
                <w:sz w:val="18"/>
                <w:szCs w:val="18"/>
              </w:rPr>
              <w:t>oblig</w:t>
            </w:r>
            <w:proofErr w:type="spellEnd"/>
            <w:r w:rsidRPr="00590166">
              <w:rPr>
                <w:b/>
                <w:bCs/>
                <w:sz w:val="18"/>
                <w:szCs w:val="18"/>
              </w:rPr>
              <w:t>.  iemaksas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90166">
              <w:rPr>
                <w:b/>
                <w:bCs/>
                <w:sz w:val="18"/>
                <w:szCs w:val="18"/>
              </w:rPr>
              <w:t>Koman</w:t>
            </w:r>
            <w:proofErr w:type="spellEnd"/>
            <w:r>
              <w:rPr>
                <w:b/>
                <w:bCs/>
                <w:sz w:val="18"/>
                <w:szCs w:val="18"/>
              </w:rPr>
              <w:t>-</w:t>
            </w:r>
            <w:r w:rsidRPr="00590166">
              <w:rPr>
                <w:b/>
                <w:bCs/>
                <w:sz w:val="18"/>
                <w:szCs w:val="18"/>
              </w:rPr>
              <w:t>dējumi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Pakal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590166">
              <w:rPr>
                <w:b/>
                <w:bCs/>
                <w:sz w:val="18"/>
                <w:szCs w:val="18"/>
              </w:rPr>
              <w:t>pojumi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Krājumi, materiāli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Grāmatas un žurnāli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Budžeta maksājumi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90166">
              <w:rPr>
                <w:b/>
                <w:bCs/>
                <w:sz w:val="18"/>
                <w:szCs w:val="18"/>
              </w:rPr>
              <w:t>Sub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590166">
              <w:rPr>
                <w:b/>
                <w:bCs/>
                <w:sz w:val="18"/>
                <w:szCs w:val="18"/>
              </w:rPr>
              <w:t>sīdijas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Procentu izdevumi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Pamatkapitāla veidošana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Sociālie pabalsti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Trans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590166">
              <w:rPr>
                <w:b/>
                <w:bCs/>
                <w:sz w:val="18"/>
                <w:szCs w:val="18"/>
              </w:rPr>
              <w:t>ferti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Kredītu pamat-summas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Pamat-kapitāla palieli-</w:t>
            </w:r>
            <w:proofErr w:type="spellStart"/>
            <w:r w:rsidRPr="00590166">
              <w:rPr>
                <w:b/>
                <w:bCs/>
                <w:sz w:val="18"/>
                <w:szCs w:val="18"/>
              </w:rPr>
              <w:t>nāšana</w:t>
            </w:r>
            <w:proofErr w:type="spellEnd"/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2018. gada PLĀNS</w:t>
            </w:r>
          </w:p>
        </w:tc>
      </w:tr>
      <w:tr w:rsidR="00590166" w:rsidRPr="00590166" w:rsidTr="00B66F6A">
        <w:trPr>
          <w:trHeight w:val="24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66" w:rsidRPr="00590166" w:rsidRDefault="00590166" w:rsidP="005901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right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Kods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2300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7000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9900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9902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166" w:rsidRPr="00590166" w:rsidRDefault="00590166" w:rsidP="0059016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90166" w:rsidRPr="00590166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 xml:space="preserve">1. PII </w:t>
            </w:r>
            <w:proofErr w:type="spellStart"/>
            <w:r w:rsidRPr="00590166">
              <w:rPr>
                <w:b/>
                <w:bCs/>
                <w:sz w:val="18"/>
                <w:szCs w:val="18"/>
              </w:rPr>
              <w:t>Buratino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26 688,22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6 429,19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1 044,70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34 162,11</w:t>
            </w:r>
          </w:p>
        </w:tc>
      </w:tr>
      <w:tr w:rsidR="00590166" w:rsidRPr="00590166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 xml:space="preserve">2. PII </w:t>
            </w:r>
            <w:proofErr w:type="spellStart"/>
            <w:r w:rsidRPr="00590166">
              <w:rPr>
                <w:b/>
                <w:bCs/>
                <w:sz w:val="18"/>
                <w:szCs w:val="18"/>
              </w:rPr>
              <w:t>Kāpēcītis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14 393,16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3 467,31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578,31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18 438,78</w:t>
            </w:r>
          </w:p>
        </w:tc>
      </w:tr>
      <w:tr w:rsidR="00590166" w:rsidRPr="00590166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3. PII Spārīte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35 787,50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8 621,21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1 436,46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45 845,17</w:t>
            </w:r>
          </w:p>
        </w:tc>
      </w:tr>
      <w:tr w:rsidR="00590166" w:rsidRPr="00590166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Lādezera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6 619,26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1 594,58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223,92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8 437,76</w:t>
            </w:r>
          </w:p>
        </w:tc>
      </w:tr>
      <w:tr w:rsidR="00590166" w:rsidRPr="00590166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PII Ozolaine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10 673,49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2 571,24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335,80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13 580,53</w:t>
            </w:r>
          </w:p>
        </w:tc>
      </w:tr>
      <w:tr w:rsidR="00590166" w:rsidRPr="00590166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Pāles 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9 876,96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2 379,36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190,00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12 446,32</w:t>
            </w:r>
          </w:p>
        </w:tc>
      </w:tr>
      <w:tr w:rsidR="00590166" w:rsidRPr="00590166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 xml:space="preserve">PII </w:t>
            </w:r>
            <w:proofErr w:type="spellStart"/>
            <w:r w:rsidRPr="00590166">
              <w:rPr>
                <w:b/>
                <w:bCs/>
                <w:sz w:val="18"/>
                <w:szCs w:val="18"/>
              </w:rPr>
              <w:t>Aģupīte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10 707,75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2 579,50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354,45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13 641,70</w:t>
            </w:r>
          </w:p>
        </w:tc>
      </w:tr>
      <w:tr w:rsidR="00590166" w:rsidRPr="00590166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 xml:space="preserve">PII </w:t>
            </w:r>
            <w:proofErr w:type="spellStart"/>
            <w:r w:rsidRPr="00590166">
              <w:rPr>
                <w:b/>
                <w:bCs/>
                <w:sz w:val="18"/>
                <w:szCs w:val="18"/>
              </w:rPr>
              <w:t>Zīļuks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13 924,32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3 354,37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466,38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17 745,07</w:t>
            </w:r>
          </w:p>
        </w:tc>
      </w:tr>
      <w:tr w:rsidR="00590166" w:rsidRPr="00590166" w:rsidTr="00B66F6A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 xml:space="preserve">Vidrižu pamatskola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11 483,67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2 766,41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392,00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14 642,08</w:t>
            </w:r>
          </w:p>
        </w:tc>
      </w:tr>
      <w:tr w:rsidR="00590166" w:rsidRPr="00590166" w:rsidTr="00B66F6A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 xml:space="preserve">Baumaņa Kārļa Viļķenes pamatskola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8 191,97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1 973,44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120,00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sz w:val="18"/>
                <w:szCs w:val="18"/>
              </w:rPr>
            </w:pPr>
            <w:r w:rsidRPr="00590166">
              <w:rPr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10 285,41</w:t>
            </w:r>
          </w:p>
        </w:tc>
      </w:tr>
      <w:tr w:rsidR="00590166" w:rsidRPr="00590166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166" w:rsidRPr="00590166" w:rsidRDefault="00590166" w:rsidP="00590166">
            <w:pPr>
              <w:jc w:val="right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Kopā: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148 346,30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35 736,61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5 142,02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166" w:rsidRPr="00590166" w:rsidRDefault="00590166" w:rsidP="00590166">
            <w:pPr>
              <w:jc w:val="center"/>
              <w:rPr>
                <w:b/>
                <w:bCs/>
                <w:sz w:val="18"/>
                <w:szCs w:val="18"/>
              </w:rPr>
            </w:pPr>
            <w:r w:rsidRPr="00590166">
              <w:rPr>
                <w:b/>
                <w:bCs/>
                <w:sz w:val="18"/>
                <w:szCs w:val="18"/>
              </w:rPr>
              <w:t>189 224,93</w:t>
            </w:r>
          </w:p>
        </w:tc>
      </w:tr>
    </w:tbl>
    <w:p w:rsidR="00715568" w:rsidRDefault="00715568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715568" w:rsidRDefault="00715568">
      <w:pPr>
        <w:spacing w:after="160" w:line="259" w:lineRule="auto"/>
      </w:pPr>
      <w:r>
        <w:br w:type="page"/>
      </w:r>
    </w:p>
    <w:p w:rsidR="00715568" w:rsidRDefault="00715568" w:rsidP="00715568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6409B0" w:rsidRDefault="006409B0" w:rsidP="00715568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</w:p>
    <w:p w:rsidR="00715568" w:rsidRPr="006409B0" w:rsidRDefault="00715568" w:rsidP="00715568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6409B0">
        <w:rPr>
          <w:rFonts w:ascii="Times New Roman" w:hAnsi="Times New Roman"/>
          <w:b/>
          <w:sz w:val="24"/>
          <w:szCs w:val="24"/>
        </w:rPr>
        <w:t>Limbažu novada pašvaldības 2018.gada budžetā plānotās valsts mērķdotācijas pedagogu darba samaksai, VSAOI mācību līdzekļiem un mācību literatūras iegādei pamata un vispārējās izglītības iestādēm no 2018.gada 1.janvāra līdz 31.augustam kopsavilkums, EUR</w:t>
      </w:r>
    </w:p>
    <w:p w:rsidR="00715568" w:rsidRPr="006409B0" w:rsidRDefault="00715568" w:rsidP="00982492">
      <w:pPr>
        <w:spacing w:line="259" w:lineRule="auto"/>
        <w:rPr>
          <w:rFonts w:eastAsia="Calibri"/>
          <w:i/>
          <w:lang w:eastAsia="en-US"/>
        </w:rPr>
      </w:pPr>
      <w:r w:rsidRPr="006409B0">
        <w:rPr>
          <w:rFonts w:eastAsia="Calibri"/>
          <w:i/>
          <w:lang w:eastAsia="en-US"/>
        </w:rPr>
        <w:t>09.211 un 09.219 funkcija</w:t>
      </w:r>
      <w:bookmarkStart w:id="0" w:name="_GoBack"/>
      <w:bookmarkEnd w:id="0"/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471"/>
        <w:gridCol w:w="1367"/>
        <w:gridCol w:w="1276"/>
        <w:gridCol w:w="1134"/>
        <w:gridCol w:w="846"/>
        <w:gridCol w:w="767"/>
        <w:gridCol w:w="1073"/>
        <w:gridCol w:w="986"/>
        <w:gridCol w:w="1077"/>
        <w:gridCol w:w="707"/>
        <w:gridCol w:w="923"/>
        <w:gridCol w:w="992"/>
        <w:gridCol w:w="827"/>
        <w:gridCol w:w="666"/>
        <w:gridCol w:w="847"/>
        <w:gridCol w:w="847"/>
        <w:gridCol w:w="1207"/>
      </w:tblGrid>
      <w:tr w:rsidR="00715568" w:rsidRPr="00715568" w:rsidTr="00B66F6A">
        <w:trPr>
          <w:trHeight w:val="112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Iestāde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Atalgojums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 xml:space="preserve">Valsts soc. </w:t>
            </w:r>
            <w:proofErr w:type="spellStart"/>
            <w:r w:rsidRPr="00715568">
              <w:rPr>
                <w:b/>
                <w:bCs/>
                <w:sz w:val="18"/>
                <w:szCs w:val="18"/>
              </w:rPr>
              <w:t>apdr</w:t>
            </w:r>
            <w:proofErr w:type="spellEnd"/>
            <w:r w:rsidRPr="00715568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715568">
              <w:rPr>
                <w:b/>
                <w:bCs/>
                <w:sz w:val="18"/>
                <w:szCs w:val="18"/>
              </w:rPr>
              <w:t>oblig</w:t>
            </w:r>
            <w:proofErr w:type="spellEnd"/>
            <w:r w:rsidRPr="00715568">
              <w:rPr>
                <w:b/>
                <w:bCs/>
                <w:sz w:val="18"/>
                <w:szCs w:val="18"/>
              </w:rPr>
              <w:t>.  iemaksas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15568">
              <w:rPr>
                <w:b/>
                <w:bCs/>
                <w:sz w:val="18"/>
                <w:szCs w:val="18"/>
              </w:rPr>
              <w:t>Koman</w:t>
            </w:r>
            <w:proofErr w:type="spellEnd"/>
            <w:r>
              <w:rPr>
                <w:b/>
                <w:bCs/>
                <w:sz w:val="18"/>
                <w:szCs w:val="18"/>
              </w:rPr>
              <w:t>-</w:t>
            </w:r>
            <w:r w:rsidRPr="00715568">
              <w:rPr>
                <w:b/>
                <w:bCs/>
                <w:sz w:val="18"/>
                <w:szCs w:val="18"/>
              </w:rPr>
              <w:t>dējumi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Pakal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715568">
              <w:rPr>
                <w:b/>
                <w:bCs/>
                <w:sz w:val="18"/>
                <w:szCs w:val="18"/>
              </w:rPr>
              <w:t>pojumi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Krājumi, materiāli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Grāmatas un žurnāli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Budžeta maksājumi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15568">
              <w:rPr>
                <w:b/>
                <w:bCs/>
                <w:sz w:val="18"/>
                <w:szCs w:val="18"/>
              </w:rPr>
              <w:t>Sub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715568">
              <w:rPr>
                <w:b/>
                <w:bCs/>
                <w:sz w:val="18"/>
                <w:szCs w:val="18"/>
              </w:rPr>
              <w:t>sīdijas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Procentu izdevumi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Pamatkapitāla veidošana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Sociālie pabalsti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Tran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715568">
              <w:rPr>
                <w:b/>
                <w:bCs/>
                <w:sz w:val="18"/>
                <w:szCs w:val="18"/>
              </w:rPr>
              <w:t>sferti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Kredītu pamat-summas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Pamat-kapitāla palieli-</w:t>
            </w:r>
            <w:proofErr w:type="spellStart"/>
            <w:r w:rsidRPr="00715568">
              <w:rPr>
                <w:b/>
                <w:bCs/>
                <w:sz w:val="18"/>
                <w:szCs w:val="18"/>
              </w:rPr>
              <w:t>nāšana</w:t>
            </w:r>
            <w:proofErr w:type="spellEnd"/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2018. gada PLĀNS</w:t>
            </w:r>
          </w:p>
        </w:tc>
      </w:tr>
      <w:tr w:rsidR="00715568" w:rsidRPr="00715568" w:rsidTr="00B66F6A">
        <w:trPr>
          <w:trHeight w:val="24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68" w:rsidRPr="00715568" w:rsidRDefault="00715568" w:rsidP="007155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right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Kods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2100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2300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7000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9900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9902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568" w:rsidRPr="00715568" w:rsidRDefault="00715568" w:rsidP="0071556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5568" w:rsidRPr="00715568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Limbažu 3.vidusskola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321 214,47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77 380,58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4 498,59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4 400,00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407 493,64</w:t>
            </w:r>
          </w:p>
        </w:tc>
      </w:tr>
      <w:tr w:rsidR="00715568" w:rsidRPr="00715568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Limbažu novada ģimnāzija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197 131,93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47 489,09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2 359,90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2 359,90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249 340,82</w:t>
            </w:r>
          </w:p>
        </w:tc>
      </w:tr>
      <w:tr w:rsidR="00715568" w:rsidRPr="00715568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 xml:space="preserve">Sākumskola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215 598,52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51 937,69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4 080,19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2 691,69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274 308,09</w:t>
            </w:r>
          </w:p>
        </w:tc>
      </w:tr>
      <w:tr w:rsidR="00715568" w:rsidRPr="00715568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 xml:space="preserve">Lādezera pamatskola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105 808,10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25 489,16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926,08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1 536,37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133 759,71</w:t>
            </w:r>
          </w:p>
        </w:tc>
      </w:tr>
      <w:tr w:rsidR="00715568" w:rsidRPr="00715568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 xml:space="preserve">Pāles  pamatskola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78 366,95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18 878,60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651,50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1 080,00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98 977,05</w:t>
            </w:r>
          </w:p>
        </w:tc>
      </w:tr>
      <w:tr w:rsidR="00715568" w:rsidRPr="00715568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Umurgas 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81 744,57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19 692,26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1 261,50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660,00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103 358,33</w:t>
            </w:r>
          </w:p>
        </w:tc>
      </w:tr>
      <w:tr w:rsidR="00715568" w:rsidRPr="00715568" w:rsidTr="00B66F6A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Vidrižu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64 141,38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15 451,66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1 361,59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80 954,63</w:t>
            </w:r>
          </w:p>
        </w:tc>
      </w:tr>
      <w:tr w:rsidR="00715568" w:rsidRPr="00715568" w:rsidTr="00B66F6A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 xml:space="preserve">Baumaņa Kārļa Viļķenes pamatskola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56 717,82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13 663,32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621,67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900,00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sz w:val="18"/>
                <w:szCs w:val="18"/>
              </w:rPr>
            </w:pPr>
            <w:r w:rsidRPr="00715568"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71 902,81</w:t>
            </w:r>
          </w:p>
        </w:tc>
      </w:tr>
      <w:tr w:rsidR="00715568" w:rsidRPr="00715568" w:rsidTr="00B66F6A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568" w:rsidRPr="00715568" w:rsidRDefault="00715568" w:rsidP="00715568">
            <w:pPr>
              <w:jc w:val="right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Kopā: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1 120 723,74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269 982,36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15 761,02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13 627,96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8" w:rsidRPr="00715568" w:rsidRDefault="00715568" w:rsidP="00715568">
            <w:pPr>
              <w:jc w:val="center"/>
              <w:rPr>
                <w:b/>
                <w:bCs/>
                <w:sz w:val="18"/>
                <w:szCs w:val="18"/>
              </w:rPr>
            </w:pPr>
            <w:r w:rsidRPr="00715568">
              <w:rPr>
                <w:b/>
                <w:bCs/>
                <w:sz w:val="18"/>
                <w:szCs w:val="18"/>
              </w:rPr>
              <w:t>1 420 095,08</w:t>
            </w:r>
          </w:p>
        </w:tc>
      </w:tr>
    </w:tbl>
    <w:p w:rsidR="00590166" w:rsidRPr="00B74924" w:rsidRDefault="00590166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715568" w:rsidRDefault="00715568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72FB6" w:rsidRDefault="00372FB6" w:rsidP="00372FB6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6409B0" w:rsidRDefault="006409B0" w:rsidP="008516D1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</w:p>
    <w:p w:rsidR="006409B0" w:rsidRDefault="006409B0" w:rsidP="008516D1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</w:p>
    <w:p w:rsidR="008516D1" w:rsidRPr="006409B0" w:rsidRDefault="008516D1" w:rsidP="008516D1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6409B0">
        <w:rPr>
          <w:rFonts w:ascii="Times New Roman" w:hAnsi="Times New Roman"/>
          <w:b/>
          <w:sz w:val="24"/>
          <w:szCs w:val="24"/>
        </w:rPr>
        <w:t>Limbažu novada pašvaldības 2018.gada budžetā plānotās valsts mērķdotācijas pedagogu darba samaksai, VSAOI</w:t>
      </w:r>
      <w:r w:rsidR="000E4AC1" w:rsidRPr="006409B0">
        <w:rPr>
          <w:rFonts w:ascii="Times New Roman" w:hAnsi="Times New Roman"/>
          <w:b/>
          <w:sz w:val="24"/>
          <w:szCs w:val="24"/>
        </w:rPr>
        <w:t xml:space="preserve"> un pārējiem izdevumiem Katvaru internātpamatskolai </w:t>
      </w:r>
      <w:r w:rsidRPr="006409B0">
        <w:rPr>
          <w:rFonts w:ascii="Times New Roman" w:hAnsi="Times New Roman"/>
          <w:b/>
          <w:sz w:val="24"/>
          <w:szCs w:val="24"/>
        </w:rPr>
        <w:t>no 2018.gada 1.janvāra līdz 31.augustam kopsavilkums, EUR</w:t>
      </w:r>
    </w:p>
    <w:p w:rsidR="008516D1" w:rsidRPr="006409B0" w:rsidRDefault="008516D1" w:rsidP="008516D1">
      <w:pPr>
        <w:spacing w:line="259" w:lineRule="auto"/>
        <w:rPr>
          <w:rFonts w:eastAsia="Calibri"/>
          <w:i/>
          <w:lang w:eastAsia="en-US"/>
        </w:rPr>
      </w:pPr>
      <w:r w:rsidRPr="006409B0">
        <w:rPr>
          <w:rFonts w:eastAsia="Calibri"/>
          <w:i/>
          <w:lang w:eastAsia="en-US"/>
        </w:rPr>
        <w:t>09.219 funkcija</w:t>
      </w: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471"/>
        <w:gridCol w:w="1367"/>
        <w:gridCol w:w="1106"/>
        <w:gridCol w:w="1086"/>
        <w:gridCol w:w="846"/>
        <w:gridCol w:w="996"/>
        <w:gridCol w:w="993"/>
        <w:gridCol w:w="986"/>
        <w:gridCol w:w="1077"/>
        <w:gridCol w:w="630"/>
        <w:gridCol w:w="916"/>
        <w:gridCol w:w="977"/>
        <w:gridCol w:w="877"/>
        <w:gridCol w:w="737"/>
        <w:gridCol w:w="929"/>
        <w:gridCol w:w="847"/>
        <w:gridCol w:w="1030"/>
      </w:tblGrid>
      <w:tr w:rsidR="008516D1" w:rsidRPr="008516D1" w:rsidTr="006409B0">
        <w:trPr>
          <w:trHeight w:val="112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Iestāde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Atalgojums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 xml:space="preserve">Valsts soc. </w:t>
            </w:r>
            <w:proofErr w:type="spellStart"/>
            <w:r w:rsidRPr="008516D1">
              <w:rPr>
                <w:b/>
                <w:bCs/>
                <w:sz w:val="18"/>
                <w:szCs w:val="18"/>
              </w:rPr>
              <w:t>apdr</w:t>
            </w:r>
            <w:proofErr w:type="spellEnd"/>
            <w:r w:rsidRPr="008516D1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516D1">
              <w:rPr>
                <w:b/>
                <w:bCs/>
                <w:sz w:val="18"/>
                <w:szCs w:val="18"/>
              </w:rPr>
              <w:t>oblig</w:t>
            </w:r>
            <w:proofErr w:type="spellEnd"/>
            <w:r w:rsidRPr="008516D1">
              <w:rPr>
                <w:b/>
                <w:bCs/>
                <w:sz w:val="18"/>
                <w:szCs w:val="18"/>
              </w:rPr>
              <w:t>.  iemaksas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516D1">
              <w:rPr>
                <w:b/>
                <w:bCs/>
                <w:sz w:val="18"/>
                <w:szCs w:val="18"/>
              </w:rPr>
              <w:t>Koman</w:t>
            </w:r>
            <w:proofErr w:type="spellEnd"/>
            <w:r>
              <w:rPr>
                <w:b/>
                <w:bCs/>
                <w:sz w:val="18"/>
                <w:szCs w:val="18"/>
              </w:rPr>
              <w:t>-</w:t>
            </w:r>
            <w:r w:rsidRPr="008516D1">
              <w:rPr>
                <w:b/>
                <w:bCs/>
                <w:sz w:val="18"/>
                <w:szCs w:val="18"/>
              </w:rPr>
              <w:t>dējumi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Pakal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8516D1">
              <w:rPr>
                <w:b/>
                <w:bCs/>
                <w:sz w:val="18"/>
                <w:szCs w:val="18"/>
              </w:rPr>
              <w:t>pojumi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Krājumi, materiāli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Grāmatas un žurnāli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Budžeta maksājumi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516D1">
              <w:rPr>
                <w:b/>
                <w:bCs/>
                <w:sz w:val="18"/>
                <w:szCs w:val="18"/>
              </w:rPr>
              <w:t>Sub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8516D1">
              <w:rPr>
                <w:b/>
                <w:bCs/>
                <w:sz w:val="18"/>
                <w:szCs w:val="18"/>
              </w:rPr>
              <w:t>sīdijas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Procentu izdevumi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Pamat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8516D1">
              <w:rPr>
                <w:b/>
                <w:bCs/>
                <w:sz w:val="18"/>
                <w:szCs w:val="18"/>
              </w:rPr>
              <w:t>kapitāla veidošana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Sociālie pabalsti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Trans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8516D1">
              <w:rPr>
                <w:b/>
                <w:bCs/>
                <w:sz w:val="18"/>
                <w:szCs w:val="18"/>
              </w:rPr>
              <w:t>ferti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Kredītu pamat-summas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Pamat-kapitāla palieli-</w:t>
            </w:r>
            <w:proofErr w:type="spellStart"/>
            <w:r w:rsidRPr="008516D1">
              <w:rPr>
                <w:b/>
                <w:bCs/>
                <w:sz w:val="18"/>
                <w:szCs w:val="18"/>
              </w:rPr>
              <w:t>nāšana</w:t>
            </w:r>
            <w:proofErr w:type="spellEnd"/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2018. gada PLĀNS</w:t>
            </w:r>
          </w:p>
        </w:tc>
      </w:tr>
      <w:tr w:rsidR="008516D1" w:rsidRPr="008516D1" w:rsidTr="006409B0">
        <w:trPr>
          <w:trHeight w:val="24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D1" w:rsidRPr="008516D1" w:rsidRDefault="008516D1" w:rsidP="008516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right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Kods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2100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2300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7000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9900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9902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D1" w:rsidRPr="008516D1" w:rsidRDefault="008516D1" w:rsidP="008516D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516D1" w:rsidRPr="008516D1" w:rsidTr="006409B0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Katvaru internāt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8516D1">
              <w:rPr>
                <w:b/>
                <w:bCs/>
                <w:sz w:val="18"/>
                <w:szCs w:val="18"/>
              </w:rPr>
              <w:t>pamatskola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252 255,00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63 249,00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62 350,00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41 147,91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200,00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14 000,00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2 000,00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sz w:val="18"/>
                <w:szCs w:val="18"/>
              </w:rPr>
            </w:pPr>
            <w:r w:rsidRPr="008516D1">
              <w:rPr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435 401,91</w:t>
            </w:r>
          </w:p>
        </w:tc>
      </w:tr>
      <w:tr w:rsidR="008516D1" w:rsidRPr="008516D1" w:rsidTr="006409B0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6D1" w:rsidRPr="008516D1" w:rsidRDefault="008516D1" w:rsidP="008516D1">
            <w:pPr>
              <w:jc w:val="right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Kopā: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252 255,00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63 249,00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62 350,00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41 147,91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200,00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14 000,00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D1" w:rsidRPr="008516D1" w:rsidRDefault="008516D1" w:rsidP="008516D1">
            <w:pPr>
              <w:jc w:val="center"/>
              <w:rPr>
                <w:b/>
                <w:bCs/>
                <w:sz w:val="18"/>
                <w:szCs w:val="18"/>
              </w:rPr>
            </w:pPr>
            <w:r w:rsidRPr="008516D1">
              <w:rPr>
                <w:b/>
                <w:bCs/>
                <w:sz w:val="18"/>
                <w:szCs w:val="18"/>
              </w:rPr>
              <w:t>435 401,91</w:t>
            </w:r>
          </w:p>
        </w:tc>
      </w:tr>
    </w:tbl>
    <w:p w:rsidR="008516D1" w:rsidRDefault="008516D1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8516D1" w:rsidRDefault="008516D1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8516D1" w:rsidRDefault="008516D1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</w:p>
    <w:p w:rsidR="006409B0" w:rsidRDefault="006409B0" w:rsidP="00372FB6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</w:p>
    <w:p w:rsidR="00372FB6" w:rsidRPr="006409B0" w:rsidRDefault="00372FB6" w:rsidP="00372FB6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6409B0">
        <w:rPr>
          <w:rFonts w:ascii="Times New Roman" w:hAnsi="Times New Roman"/>
          <w:b/>
          <w:sz w:val="24"/>
          <w:szCs w:val="24"/>
        </w:rPr>
        <w:t>Limbažu novada pašvaldības 2018.gada budžetā plānotās valsts mērķdotācijas pedagogu darba samaksai, VSAOI</w:t>
      </w:r>
      <w:r w:rsidR="007B39E4" w:rsidRPr="006409B0">
        <w:rPr>
          <w:rFonts w:ascii="Times New Roman" w:hAnsi="Times New Roman"/>
          <w:b/>
          <w:sz w:val="24"/>
          <w:szCs w:val="24"/>
        </w:rPr>
        <w:t xml:space="preserve">, izglītības iestādēm, kuras nodrošina interešu izglītību </w:t>
      </w:r>
      <w:r w:rsidRPr="006409B0">
        <w:rPr>
          <w:rFonts w:ascii="Times New Roman" w:hAnsi="Times New Roman"/>
          <w:b/>
          <w:sz w:val="24"/>
          <w:szCs w:val="24"/>
        </w:rPr>
        <w:t>no 2018.gada 1.janvāra līdz 31.augustam kopsavilkums, EUR</w:t>
      </w:r>
    </w:p>
    <w:p w:rsidR="00372FB6" w:rsidRPr="006409B0" w:rsidRDefault="00372FB6" w:rsidP="00982492">
      <w:pPr>
        <w:spacing w:line="259" w:lineRule="auto"/>
        <w:rPr>
          <w:rFonts w:eastAsia="Calibri"/>
          <w:i/>
          <w:lang w:eastAsia="en-US"/>
        </w:rPr>
      </w:pPr>
      <w:r w:rsidRPr="006409B0">
        <w:rPr>
          <w:rFonts w:eastAsia="Calibri"/>
          <w:i/>
          <w:lang w:eastAsia="en-US"/>
        </w:rPr>
        <w:t>09.510 funkcija</w:t>
      </w:r>
    </w:p>
    <w:tbl>
      <w:tblPr>
        <w:tblW w:w="15967" w:type="dxa"/>
        <w:tblLayout w:type="fixed"/>
        <w:tblLook w:val="04A0" w:firstRow="1" w:lastRow="0" w:firstColumn="1" w:lastColumn="0" w:noHBand="0" w:noVBand="1"/>
      </w:tblPr>
      <w:tblGrid>
        <w:gridCol w:w="421"/>
        <w:gridCol w:w="1267"/>
        <w:gridCol w:w="1205"/>
        <w:gridCol w:w="1134"/>
        <w:gridCol w:w="916"/>
        <w:gridCol w:w="864"/>
        <w:gridCol w:w="851"/>
        <w:gridCol w:w="1072"/>
        <w:gridCol w:w="1037"/>
        <w:gridCol w:w="761"/>
        <w:gridCol w:w="736"/>
        <w:gridCol w:w="930"/>
        <w:gridCol w:w="895"/>
        <w:gridCol w:w="950"/>
        <w:gridCol w:w="964"/>
        <w:gridCol w:w="930"/>
        <w:gridCol w:w="1034"/>
      </w:tblGrid>
      <w:tr w:rsidR="008E5930" w:rsidRPr="008E5930" w:rsidTr="006409B0">
        <w:trPr>
          <w:trHeight w:val="112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Iestāde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Atalgojums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 xml:space="preserve">Valsts soc. </w:t>
            </w:r>
            <w:proofErr w:type="spellStart"/>
            <w:r w:rsidRPr="008E5930">
              <w:rPr>
                <w:b/>
                <w:bCs/>
                <w:sz w:val="20"/>
                <w:szCs w:val="20"/>
              </w:rPr>
              <w:t>apdr</w:t>
            </w:r>
            <w:proofErr w:type="spellEnd"/>
            <w:r w:rsidRPr="008E5930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8E5930">
              <w:rPr>
                <w:b/>
                <w:bCs/>
                <w:sz w:val="20"/>
                <w:szCs w:val="20"/>
              </w:rPr>
              <w:t>oblig</w:t>
            </w:r>
            <w:proofErr w:type="spellEnd"/>
            <w:r w:rsidRPr="008E5930">
              <w:rPr>
                <w:b/>
                <w:bCs/>
                <w:sz w:val="20"/>
                <w:szCs w:val="20"/>
              </w:rPr>
              <w:t>.  iemaksas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30">
              <w:rPr>
                <w:b/>
                <w:bCs/>
                <w:sz w:val="20"/>
                <w:szCs w:val="20"/>
              </w:rPr>
              <w:t>Koman</w:t>
            </w:r>
            <w:proofErr w:type="spellEnd"/>
            <w:r>
              <w:rPr>
                <w:b/>
                <w:bCs/>
                <w:sz w:val="20"/>
                <w:szCs w:val="20"/>
              </w:rPr>
              <w:t>-</w:t>
            </w:r>
            <w:r w:rsidRPr="008E5930">
              <w:rPr>
                <w:b/>
                <w:bCs/>
                <w:sz w:val="20"/>
                <w:szCs w:val="20"/>
              </w:rPr>
              <w:t>dējumi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Pakal</w:t>
            </w:r>
            <w:r>
              <w:rPr>
                <w:b/>
                <w:bCs/>
                <w:sz w:val="20"/>
                <w:szCs w:val="20"/>
              </w:rPr>
              <w:t>-</w:t>
            </w:r>
          </w:p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30">
              <w:rPr>
                <w:b/>
                <w:bCs/>
                <w:sz w:val="20"/>
                <w:szCs w:val="20"/>
              </w:rPr>
              <w:t>pojumi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Krājumi, materiāli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Grāmatas un žurnāli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Budžeta maksāju</w:t>
            </w:r>
            <w:r w:rsidR="007059B1">
              <w:rPr>
                <w:b/>
                <w:bCs/>
                <w:sz w:val="20"/>
                <w:szCs w:val="20"/>
              </w:rPr>
              <w:t>-</w:t>
            </w:r>
            <w:r w:rsidRPr="008E5930">
              <w:rPr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30">
              <w:rPr>
                <w:b/>
                <w:bCs/>
                <w:sz w:val="20"/>
                <w:szCs w:val="20"/>
              </w:rPr>
              <w:t>Sub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8E5930">
              <w:rPr>
                <w:b/>
                <w:bCs/>
                <w:sz w:val="20"/>
                <w:szCs w:val="20"/>
              </w:rPr>
              <w:t>sīdijas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Procentu izdevumi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Pamat</w:t>
            </w:r>
            <w:r w:rsidR="00372FB6">
              <w:rPr>
                <w:b/>
                <w:bCs/>
                <w:sz w:val="20"/>
                <w:szCs w:val="20"/>
              </w:rPr>
              <w:t>-</w:t>
            </w:r>
            <w:r w:rsidRPr="008E5930">
              <w:rPr>
                <w:b/>
                <w:bCs/>
                <w:sz w:val="20"/>
                <w:szCs w:val="20"/>
              </w:rPr>
              <w:t>kapitāla veidošana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Sociālie pabalsti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Tran</w:t>
            </w:r>
            <w:r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8E5930">
              <w:rPr>
                <w:b/>
                <w:bCs/>
                <w:sz w:val="20"/>
                <w:szCs w:val="20"/>
              </w:rPr>
              <w:t>sferti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Kredītu pamat-summas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Pamat-kapitāla palieli-</w:t>
            </w:r>
            <w:proofErr w:type="spellStart"/>
            <w:r w:rsidRPr="008E5930">
              <w:rPr>
                <w:b/>
                <w:bCs/>
                <w:sz w:val="20"/>
                <w:szCs w:val="20"/>
              </w:rPr>
              <w:t>nāšana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2018. gada PLĀNS</w:t>
            </w:r>
          </w:p>
        </w:tc>
      </w:tr>
      <w:tr w:rsidR="008E5930" w:rsidRPr="008E5930" w:rsidTr="006409B0">
        <w:trPr>
          <w:trHeight w:val="2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30" w:rsidRPr="008E5930" w:rsidRDefault="008E5930" w:rsidP="008E59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right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Kods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2100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9902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30" w:rsidRPr="008E5930" w:rsidRDefault="008E5930" w:rsidP="008E593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5930" w:rsidRPr="008E5930" w:rsidTr="006409B0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Limbažu 3.vidusskola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7 003,17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1 687,06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8 690,23</w:t>
            </w:r>
          </w:p>
        </w:tc>
      </w:tr>
      <w:tr w:rsidR="008E5930" w:rsidRPr="008E5930" w:rsidTr="006409B0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Limbažu novada ģimnāzija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3 837,84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924,53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4 762,37</w:t>
            </w:r>
          </w:p>
        </w:tc>
      </w:tr>
      <w:tr w:rsidR="008E5930" w:rsidRPr="008E5930" w:rsidTr="006409B0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 xml:space="preserve">Lādezera pamatskola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4 788,05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1 153,44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5 941,49</w:t>
            </w:r>
          </w:p>
        </w:tc>
      </w:tr>
      <w:tr w:rsidR="008E5930" w:rsidRPr="008E5930" w:rsidTr="006409B0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 xml:space="preserve">Pāles  pamatskola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3 251,83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783,36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4 035,19</w:t>
            </w:r>
          </w:p>
        </w:tc>
      </w:tr>
      <w:tr w:rsidR="008E5930" w:rsidRPr="008E5930" w:rsidTr="006409B0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BJC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29 824,51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7 184,73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37 009,24</w:t>
            </w:r>
          </w:p>
        </w:tc>
      </w:tr>
      <w:tr w:rsidR="008E5930" w:rsidRPr="008E5930" w:rsidTr="006409B0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 xml:space="preserve">Sākumskola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5 397,76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1 300,32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6 698,08</w:t>
            </w:r>
          </w:p>
        </w:tc>
      </w:tr>
      <w:tr w:rsidR="008E5930" w:rsidRPr="008E5930" w:rsidTr="006409B0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 xml:space="preserve">Umurgas  pamatskola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3 983,90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959,72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4 943,62</w:t>
            </w:r>
          </w:p>
        </w:tc>
      </w:tr>
      <w:tr w:rsidR="008E5930" w:rsidRPr="008E5930" w:rsidTr="006409B0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 xml:space="preserve">Vidrižu pamatskola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2 810,27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676,99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3 487,26</w:t>
            </w:r>
          </w:p>
        </w:tc>
      </w:tr>
      <w:tr w:rsidR="008E5930" w:rsidRPr="008E5930" w:rsidTr="006409B0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 xml:space="preserve">Baumaņa Kārļa Viļķenes pamatskola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2 734,60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658,76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3 393,36</w:t>
            </w:r>
          </w:p>
        </w:tc>
      </w:tr>
      <w:tr w:rsidR="008E5930" w:rsidRPr="008E5930" w:rsidTr="006409B0">
        <w:trPr>
          <w:trHeight w:val="28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Novada pārvalde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1 053,95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sz w:val="20"/>
                <w:szCs w:val="20"/>
              </w:rPr>
            </w:pPr>
            <w:r w:rsidRPr="008E5930"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1 053,95</w:t>
            </w:r>
          </w:p>
        </w:tc>
      </w:tr>
      <w:tr w:rsidR="008E5930" w:rsidRPr="008E5930" w:rsidTr="006409B0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930" w:rsidRPr="008E5930" w:rsidRDefault="008E5930" w:rsidP="008E5930">
            <w:pPr>
              <w:jc w:val="right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Kopā: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63 631,93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15 328,91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1 053,95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930" w:rsidRPr="008E5930" w:rsidRDefault="008E5930" w:rsidP="008E5930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30">
              <w:rPr>
                <w:b/>
                <w:bCs/>
                <w:sz w:val="20"/>
                <w:szCs w:val="20"/>
              </w:rPr>
              <w:t>80 014,79</w:t>
            </w:r>
          </w:p>
        </w:tc>
      </w:tr>
    </w:tbl>
    <w:p w:rsidR="008E5930" w:rsidRDefault="008E5930" w:rsidP="00A708AB">
      <w:pPr>
        <w:rPr>
          <w:sz w:val="20"/>
          <w:szCs w:val="20"/>
        </w:rPr>
      </w:pPr>
    </w:p>
    <w:p w:rsidR="001E26C6" w:rsidRDefault="001E26C6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15568" w:rsidRDefault="00715568" w:rsidP="00A708AB">
      <w:pPr>
        <w:rPr>
          <w:sz w:val="20"/>
          <w:szCs w:val="20"/>
        </w:rPr>
      </w:pPr>
    </w:p>
    <w:p w:rsidR="009F719A" w:rsidRDefault="009F719A" w:rsidP="00A708AB">
      <w:pPr>
        <w:rPr>
          <w:sz w:val="20"/>
          <w:szCs w:val="20"/>
        </w:rPr>
      </w:pPr>
    </w:p>
    <w:p w:rsidR="009F719A" w:rsidRDefault="009F719A" w:rsidP="009F719A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9F719A" w:rsidRPr="006409B0" w:rsidRDefault="009F719A" w:rsidP="009F719A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bookmarkStart w:id="1" w:name="_Hlk505014727"/>
      <w:r w:rsidRPr="006409B0">
        <w:rPr>
          <w:rFonts w:ascii="Times New Roman" w:hAnsi="Times New Roman"/>
          <w:b/>
          <w:sz w:val="24"/>
          <w:szCs w:val="24"/>
        </w:rPr>
        <w:t>Limbažu novada pašvaldības 2018.gada budžetā plānotās valsts mērķdotācijas pedagogu darba samaksai, VSAOI profesionālās ievirzes izglītības iestādēm</w:t>
      </w:r>
      <w:r w:rsidRPr="006409B0">
        <w:rPr>
          <w:sz w:val="24"/>
          <w:szCs w:val="24"/>
        </w:rPr>
        <w:t xml:space="preserve">  </w:t>
      </w:r>
      <w:r w:rsidRPr="006409B0">
        <w:rPr>
          <w:rFonts w:ascii="Times New Roman" w:hAnsi="Times New Roman"/>
          <w:b/>
          <w:sz w:val="24"/>
          <w:szCs w:val="24"/>
        </w:rPr>
        <w:t>no 2018.gada 1.janvāra līdz 31.augustam kopsavilkums, EUR*</w:t>
      </w:r>
    </w:p>
    <w:bookmarkEnd w:id="1"/>
    <w:p w:rsidR="009F719A" w:rsidRPr="006409B0" w:rsidRDefault="009F719A" w:rsidP="00A708AB">
      <w:pPr>
        <w:rPr>
          <w:rFonts w:eastAsia="Calibri"/>
          <w:i/>
          <w:lang w:eastAsia="en-US"/>
        </w:rPr>
      </w:pPr>
      <w:r w:rsidRPr="006409B0">
        <w:rPr>
          <w:rFonts w:eastAsia="Calibri"/>
          <w:i/>
          <w:lang w:eastAsia="en-US"/>
        </w:rPr>
        <w:t>09.510 funkcija</w:t>
      </w:r>
    </w:p>
    <w:tbl>
      <w:tblPr>
        <w:tblW w:w="16061" w:type="dxa"/>
        <w:tblLayout w:type="fixed"/>
        <w:tblLook w:val="04A0" w:firstRow="1" w:lastRow="0" w:firstColumn="1" w:lastColumn="0" w:noHBand="0" w:noVBand="1"/>
      </w:tblPr>
      <w:tblGrid>
        <w:gridCol w:w="471"/>
        <w:gridCol w:w="1096"/>
        <w:gridCol w:w="1106"/>
        <w:gridCol w:w="1150"/>
        <w:gridCol w:w="846"/>
        <w:gridCol w:w="767"/>
        <w:gridCol w:w="931"/>
        <w:gridCol w:w="986"/>
        <w:gridCol w:w="1077"/>
        <w:gridCol w:w="779"/>
        <w:gridCol w:w="916"/>
        <w:gridCol w:w="125"/>
        <w:gridCol w:w="857"/>
        <w:gridCol w:w="134"/>
        <w:gridCol w:w="693"/>
        <w:gridCol w:w="134"/>
        <w:gridCol w:w="827"/>
        <w:gridCol w:w="143"/>
        <w:gridCol w:w="704"/>
        <w:gridCol w:w="143"/>
        <w:gridCol w:w="852"/>
        <w:gridCol w:w="158"/>
        <w:gridCol w:w="976"/>
        <w:gridCol w:w="190"/>
      </w:tblGrid>
      <w:tr w:rsidR="001E26C6" w:rsidRPr="001E26C6" w:rsidTr="006409B0">
        <w:trPr>
          <w:gridAfter w:val="1"/>
          <w:wAfter w:w="190" w:type="dxa"/>
          <w:trHeight w:val="112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Iestāde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Atalgojums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 xml:space="preserve">Valsts soc. </w:t>
            </w:r>
            <w:proofErr w:type="spellStart"/>
            <w:r w:rsidRPr="001E26C6">
              <w:rPr>
                <w:b/>
                <w:bCs/>
                <w:sz w:val="18"/>
                <w:szCs w:val="18"/>
              </w:rPr>
              <w:t>apdr</w:t>
            </w:r>
            <w:proofErr w:type="spellEnd"/>
            <w:r w:rsidRPr="001E26C6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1E26C6">
              <w:rPr>
                <w:b/>
                <w:bCs/>
                <w:sz w:val="18"/>
                <w:szCs w:val="18"/>
              </w:rPr>
              <w:t>oblig</w:t>
            </w:r>
            <w:proofErr w:type="spellEnd"/>
            <w:r w:rsidRPr="001E26C6">
              <w:rPr>
                <w:b/>
                <w:bCs/>
                <w:sz w:val="18"/>
                <w:szCs w:val="18"/>
              </w:rPr>
              <w:t>.  iemaksas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E26C6">
              <w:rPr>
                <w:b/>
                <w:bCs/>
                <w:sz w:val="18"/>
                <w:szCs w:val="18"/>
              </w:rPr>
              <w:t>Koman</w:t>
            </w:r>
            <w:proofErr w:type="spellEnd"/>
            <w:r>
              <w:rPr>
                <w:b/>
                <w:bCs/>
                <w:sz w:val="18"/>
                <w:szCs w:val="18"/>
              </w:rPr>
              <w:t>-</w:t>
            </w:r>
          </w:p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dējumi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Pakal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1E26C6">
              <w:rPr>
                <w:b/>
                <w:bCs/>
                <w:sz w:val="18"/>
                <w:szCs w:val="18"/>
              </w:rPr>
              <w:t>pojumi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Krājumi, materiāli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Grāmatas un žurnāli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Budžeta maksājumi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E26C6">
              <w:rPr>
                <w:b/>
                <w:bCs/>
                <w:sz w:val="18"/>
                <w:szCs w:val="18"/>
              </w:rPr>
              <w:t>Sub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1E26C6">
              <w:rPr>
                <w:b/>
                <w:bCs/>
                <w:sz w:val="18"/>
                <w:szCs w:val="18"/>
              </w:rPr>
              <w:t>sīdijas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Procentu izdevumi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Pamat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1E26C6">
              <w:rPr>
                <w:b/>
                <w:bCs/>
                <w:sz w:val="18"/>
                <w:szCs w:val="18"/>
              </w:rPr>
              <w:t>kapitāla veidošana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Sociālie pabalsti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Trans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1E26C6">
              <w:rPr>
                <w:b/>
                <w:bCs/>
                <w:sz w:val="18"/>
                <w:szCs w:val="18"/>
              </w:rPr>
              <w:t>ferti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Kredītu pamat-summas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Pamat-kapitāla palieli-</w:t>
            </w:r>
            <w:proofErr w:type="spellStart"/>
            <w:r w:rsidRPr="001E26C6">
              <w:rPr>
                <w:b/>
                <w:bCs/>
                <w:sz w:val="18"/>
                <w:szCs w:val="18"/>
              </w:rPr>
              <w:t>nāšana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2018. gada PLĀNS</w:t>
            </w:r>
          </w:p>
        </w:tc>
      </w:tr>
      <w:tr w:rsidR="001E26C6" w:rsidRPr="001E26C6" w:rsidTr="006409B0">
        <w:trPr>
          <w:gridAfter w:val="1"/>
          <w:wAfter w:w="190" w:type="dxa"/>
          <w:trHeight w:val="24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6C6" w:rsidRPr="001E26C6" w:rsidRDefault="001E26C6" w:rsidP="001E26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right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Kods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2100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2300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7000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9900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9902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C6" w:rsidRPr="001E26C6" w:rsidRDefault="001E26C6" w:rsidP="001E26C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516D1" w:rsidRPr="001E26C6" w:rsidTr="006409B0">
        <w:trPr>
          <w:gridAfter w:val="1"/>
          <w:wAfter w:w="190" w:type="dxa"/>
          <w:trHeight w:val="5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Limbažu mākslas skola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9375,45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2258,55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37,43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11 671,43</w:t>
            </w:r>
          </w:p>
        </w:tc>
      </w:tr>
      <w:tr w:rsidR="009F719A" w:rsidRPr="001E26C6" w:rsidTr="006409B0">
        <w:trPr>
          <w:gridAfter w:val="1"/>
          <w:wAfter w:w="190" w:type="dxa"/>
          <w:trHeight w:val="5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Limbažu mūzikas skola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117860,42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28392,58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2049,17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C6" w:rsidRDefault="001E26C6" w:rsidP="001E26C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1E26C6">
              <w:rPr>
                <w:b/>
                <w:bCs/>
                <w:sz w:val="20"/>
                <w:szCs w:val="20"/>
              </w:rPr>
              <w:t>48 302,17</w:t>
            </w:r>
          </w:p>
        </w:tc>
      </w:tr>
      <w:tr w:rsidR="009F719A" w:rsidRPr="001E26C6" w:rsidTr="006409B0">
        <w:trPr>
          <w:gridAfter w:val="1"/>
          <w:wAfter w:w="190" w:type="dxa"/>
          <w:trHeight w:val="5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C6" w:rsidRPr="001E26C6" w:rsidRDefault="001E26C6" w:rsidP="001E26C6">
            <w:pPr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Limbažu un Salacgrīvas novadu sporta skola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221440,8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53345,09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20"/>
                <w:szCs w:val="20"/>
              </w:rPr>
              <w:t>274 785,89</w:t>
            </w:r>
          </w:p>
        </w:tc>
      </w:tr>
      <w:tr w:rsidR="009F719A" w:rsidRPr="001E26C6" w:rsidTr="006409B0">
        <w:trPr>
          <w:gridAfter w:val="1"/>
          <w:wAfter w:w="190" w:type="dxa"/>
          <w:trHeight w:val="22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6C6" w:rsidRPr="001E26C6" w:rsidRDefault="001E26C6" w:rsidP="001E26C6">
            <w:pPr>
              <w:jc w:val="right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Kopā: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348 676,67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83 996,22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2 086,60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  <w:r w:rsidRPr="001E26C6">
              <w:rPr>
                <w:b/>
                <w:bCs/>
                <w:sz w:val="18"/>
                <w:szCs w:val="18"/>
              </w:rPr>
              <w:t>434 759,49</w:t>
            </w:r>
          </w:p>
        </w:tc>
      </w:tr>
      <w:tr w:rsidR="001E26C6" w:rsidRPr="001E26C6" w:rsidTr="006409B0">
        <w:trPr>
          <w:gridAfter w:val="1"/>
          <w:wAfter w:w="190" w:type="dxa"/>
          <w:trHeight w:val="225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</w:tr>
      <w:tr w:rsidR="001E26C6" w:rsidRPr="001E26C6" w:rsidTr="006409B0">
        <w:trPr>
          <w:trHeight w:val="225"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  <w:tc>
          <w:tcPr>
            <w:tcW w:w="97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Default="001E26C6" w:rsidP="001E26C6">
            <w:pPr>
              <w:rPr>
                <w:sz w:val="18"/>
                <w:szCs w:val="18"/>
              </w:rPr>
            </w:pPr>
            <w:r w:rsidRPr="001E26C6">
              <w:rPr>
                <w:sz w:val="18"/>
                <w:szCs w:val="18"/>
              </w:rPr>
              <w:t>* Limbažu un Salacgrīvas novadu sporta skolai valsts mērķdotācija pedagogu darba samaksai un  VSAOI no 2018.gada 1.janvāra līdz 31.decembrim</w:t>
            </w:r>
          </w:p>
          <w:p w:rsidR="00D15C50" w:rsidRDefault="00D15C50" w:rsidP="001E26C6">
            <w:pPr>
              <w:rPr>
                <w:sz w:val="18"/>
                <w:szCs w:val="18"/>
              </w:rPr>
            </w:pPr>
          </w:p>
          <w:p w:rsidR="00D15C50" w:rsidRPr="001E26C6" w:rsidRDefault="00D15C50" w:rsidP="001E26C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6C6" w:rsidRPr="001E26C6" w:rsidRDefault="001E26C6" w:rsidP="001E26C6">
            <w:pPr>
              <w:rPr>
                <w:sz w:val="18"/>
                <w:szCs w:val="18"/>
              </w:rPr>
            </w:pPr>
          </w:p>
        </w:tc>
      </w:tr>
    </w:tbl>
    <w:p w:rsidR="001E26C6" w:rsidRDefault="001E26C6" w:rsidP="00A708AB">
      <w:pPr>
        <w:rPr>
          <w:sz w:val="20"/>
          <w:szCs w:val="20"/>
        </w:rPr>
      </w:pPr>
    </w:p>
    <w:p w:rsidR="00D15C50" w:rsidRDefault="00D15C50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15C50" w:rsidRPr="00BD06D5" w:rsidRDefault="00D15C50" w:rsidP="00A708AB">
      <w:pPr>
        <w:rPr>
          <w:b/>
          <w:sz w:val="28"/>
          <w:szCs w:val="28"/>
        </w:rPr>
      </w:pPr>
    </w:p>
    <w:p w:rsidR="00982492" w:rsidRDefault="00982492" w:rsidP="00BD06D5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982492" w:rsidRDefault="00982492" w:rsidP="00BD06D5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</w:p>
    <w:p w:rsidR="00D15C50" w:rsidRPr="006409B0" w:rsidRDefault="00D15C50" w:rsidP="00BD06D5">
      <w:pPr>
        <w:pStyle w:val="Sarakstarindkopa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6409B0">
        <w:rPr>
          <w:rFonts w:ascii="Times New Roman" w:hAnsi="Times New Roman"/>
          <w:b/>
          <w:sz w:val="24"/>
          <w:szCs w:val="24"/>
        </w:rPr>
        <w:t>Limbažu novada pašvaldības 2018.gada budžetā plānotās valsts mērķdotācijas</w:t>
      </w:r>
      <w:r w:rsidR="00A427DC">
        <w:rPr>
          <w:rFonts w:ascii="Times New Roman" w:hAnsi="Times New Roman"/>
          <w:b/>
          <w:sz w:val="24"/>
          <w:szCs w:val="24"/>
        </w:rPr>
        <w:t xml:space="preserve"> </w:t>
      </w:r>
      <w:r w:rsidR="00477113" w:rsidRPr="006409B0">
        <w:rPr>
          <w:rFonts w:ascii="Times New Roman" w:hAnsi="Times New Roman"/>
          <w:b/>
          <w:sz w:val="24"/>
          <w:szCs w:val="24"/>
        </w:rPr>
        <w:t xml:space="preserve">1.-4. klašu </w:t>
      </w:r>
      <w:r w:rsidR="00A427DC">
        <w:rPr>
          <w:rFonts w:ascii="Times New Roman" w:hAnsi="Times New Roman"/>
          <w:b/>
          <w:sz w:val="24"/>
          <w:szCs w:val="24"/>
        </w:rPr>
        <w:t>izglītojamo ēdināšanai</w:t>
      </w:r>
      <w:r w:rsidRPr="006409B0">
        <w:rPr>
          <w:rFonts w:ascii="Times New Roman" w:hAnsi="Times New Roman"/>
          <w:b/>
          <w:sz w:val="24"/>
          <w:szCs w:val="24"/>
        </w:rPr>
        <w:t xml:space="preserve">  no 2018.gada 1.janvāra līdz 31.</w:t>
      </w:r>
      <w:r w:rsidR="00BD06D5" w:rsidRPr="006409B0">
        <w:rPr>
          <w:rFonts w:ascii="Times New Roman" w:hAnsi="Times New Roman"/>
          <w:b/>
          <w:sz w:val="24"/>
          <w:szCs w:val="24"/>
        </w:rPr>
        <w:t>decembrim</w:t>
      </w:r>
      <w:r w:rsidRPr="006409B0">
        <w:rPr>
          <w:rFonts w:ascii="Times New Roman" w:hAnsi="Times New Roman"/>
          <w:b/>
          <w:sz w:val="24"/>
          <w:szCs w:val="24"/>
        </w:rPr>
        <w:t xml:space="preserve"> kopsavilkums, EUR</w:t>
      </w:r>
    </w:p>
    <w:p w:rsidR="00D15C50" w:rsidRPr="006409B0" w:rsidRDefault="00BD06D5" w:rsidP="00A708AB">
      <w:pPr>
        <w:rPr>
          <w:rFonts w:eastAsia="Calibri"/>
          <w:i/>
          <w:lang w:eastAsia="en-US"/>
        </w:rPr>
      </w:pPr>
      <w:r w:rsidRPr="006409B0">
        <w:rPr>
          <w:rFonts w:eastAsia="Calibri"/>
          <w:i/>
          <w:lang w:eastAsia="en-US"/>
        </w:rPr>
        <w:t>09.600 funkcija</w:t>
      </w:r>
    </w:p>
    <w:tbl>
      <w:tblPr>
        <w:tblW w:w="16013" w:type="dxa"/>
        <w:tblLook w:val="04A0" w:firstRow="1" w:lastRow="0" w:firstColumn="1" w:lastColumn="0" w:noHBand="0" w:noVBand="1"/>
      </w:tblPr>
      <w:tblGrid>
        <w:gridCol w:w="500"/>
        <w:gridCol w:w="1162"/>
        <w:gridCol w:w="1106"/>
        <w:gridCol w:w="1193"/>
        <w:gridCol w:w="846"/>
        <w:gridCol w:w="858"/>
        <w:gridCol w:w="1170"/>
        <w:gridCol w:w="986"/>
        <w:gridCol w:w="1077"/>
        <w:gridCol w:w="707"/>
        <w:gridCol w:w="916"/>
        <w:gridCol w:w="977"/>
        <w:gridCol w:w="895"/>
        <w:gridCol w:w="753"/>
        <w:gridCol w:w="856"/>
        <w:gridCol w:w="847"/>
        <w:gridCol w:w="1164"/>
      </w:tblGrid>
      <w:tr w:rsidR="00D15C50" w:rsidRPr="00D15C50" w:rsidTr="006409B0">
        <w:trPr>
          <w:trHeight w:val="11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Iestāde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Atalgojums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 xml:space="preserve">Valsts soc. </w:t>
            </w:r>
            <w:proofErr w:type="spellStart"/>
            <w:r w:rsidRPr="00D15C50">
              <w:rPr>
                <w:b/>
                <w:bCs/>
                <w:sz w:val="18"/>
                <w:szCs w:val="18"/>
              </w:rPr>
              <w:t>apdr</w:t>
            </w:r>
            <w:proofErr w:type="spellEnd"/>
            <w:r w:rsidRPr="00D15C50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15C50">
              <w:rPr>
                <w:b/>
                <w:bCs/>
                <w:sz w:val="18"/>
                <w:szCs w:val="18"/>
              </w:rPr>
              <w:t>oblig</w:t>
            </w:r>
            <w:proofErr w:type="spellEnd"/>
            <w:r w:rsidRPr="00D15C50">
              <w:rPr>
                <w:b/>
                <w:bCs/>
                <w:sz w:val="18"/>
                <w:szCs w:val="18"/>
              </w:rPr>
              <w:t>.  iemaksas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5C50">
              <w:rPr>
                <w:b/>
                <w:bCs/>
                <w:sz w:val="18"/>
                <w:szCs w:val="18"/>
              </w:rPr>
              <w:t>Koman</w:t>
            </w:r>
            <w:proofErr w:type="spellEnd"/>
            <w:r>
              <w:rPr>
                <w:b/>
                <w:bCs/>
                <w:sz w:val="18"/>
                <w:szCs w:val="18"/>
              </w:rPr>
              <w:t>-</w:t>
            </w:r>
            <w:r w:rsidRPr="00D15C50">
              <w:rPr>
                <w:b/>
                <w:bCs/>
                <w:sz w:val="18"/>
                <w:szCs w:val="18"/>
              </w:rPr>
              <w:t>dējumi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Pakal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D15C50">
              <w:rPr>
                <w:b/>
                <w:bCs/>
                <w:sz w:val="18"/>
                <w:szCs w:val="18"/>
              </w:rPr>
              <w:t>pojumi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Krājumi, materiāli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Grāmatas un žurnāli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Budžeta maksājumi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15C50">
              <w:rPr>
                <w:b/>
                <w:bCs/>
                <w:sz w:val="18"/>
                <w:szCs w:val="18"/>
              </w:rPr>
              <w:t>Sub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15C50">
              <w:rPr>
                <w:b/>
                <w:bCs/>
                <w:sz w:val="18"/>
                <w:szCs w:val="18"/>
              </w:rPr>
              <w:t>sīdijas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Procentu izdevumi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Pamat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15C50">
              <w:rPr>
                <w:b/>
                <w:bCs/>
                <w:sz w:val="18"/>
                <w:szCs w:val="18"/>
              </w:rPr>
              <w:t>kapitāla veidošana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Sociālie pabalsti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Trans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D15C50">
              <w:rPr>
                <w:b/>
                <w:bCs/>
                <w:sz w:val="18"/>
                <w:szCs w:val="18"/>
              </w:rPr>
              <w:t>ferti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Kredītu pamat-summas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Pamat-kapitāla palieli-</w:t>
            </w:r>
            <w:proofErr w:type="spellStart"/>
            <w:r w:rsidRPr="00D15C50">
              <w:rPr>
                <w:b/>
                <w:bCs/>
                <w:sz w:val="18"/>
                <w:szCs w:val="18"/>
              </w:rPr>
              <w:t>nāšana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2018. gada PLĀNS</w:t>
            </w:r>
          </w:p>
        </w:tc>
      </w:tr>
      <w:tr w:rsidR="00D15C50" w:rsidRPr="00D15C50" w:rsidTr="006409B0">
        <w:trPr>
          <w:trHeight w:val="2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50" w:rsidRPr="00D15C50" w:rsidRDefault="00D15C50" w:rsidP="00D15C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right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Kods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2100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2200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2300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2400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7000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9900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9902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50" w:rsidRPr="00D15C50" w:rsidRDefault="00D15C50" w:rsidP="00D15C5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15C50" w:rsidRPr="00D15C50" w:rsidTr="006409B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Limbažu 3.vidusskola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41 916,98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41 916,98</w:t>
            </w:r>
          </w:p>
        </w:tc>
      </w:tr>
      <w:tr w:rsidR="00D15C50" w:rsidRPr="00D15C50" w:rsidTr="006409B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Lādezera pamatskola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13 551,06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13 551,06</w:t>
            </w:r>
          </w:p>
        </w:tc>
      </w:tr>
      <w:tr w:rsidR="00D15C50" w:rsidRPr="00D15C50" w:rsidTr="006409B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 xml:space="preserve">Pāles  pamatskola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7 156,80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7 156,80</w:t>
            </w:r>
          </w:p>
        </w:tc>
      </w:tr>
      <w:tr w:rsidR="00D15C50" w:rsidRPr="00D15C50" w:rsidTr="006409B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Sākumskola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54 897,20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54 897,20</w:t>
            </w:r>
          </w:p>
        </w:tc>
      </w:tr>
      <w:tr w:rsidR="00D15C50" w:rsidRPr="00D15C50" w:rsidTr="006409B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Umurgas  pamatskola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10 823,24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10 823,24</w:t>
            </w:r>
          </w:p>
        </w:tc>
      </w:tr>
      <w:tr w:rsidR="00D15C50" w:rsidRPr="00D15C50" w:rsidTr="006409B0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Vidrižu pamatskola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9 549,50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9 549,50</w:t>
            </w:r>
          </w:p>
        </w:tc>
      </w:tr>
      <w:tr w:rsidR="00D15C50" w:rsidRPr="00D15C50" w:rsidTr="006409B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 xml:space="preserve">Baumaņa Kārļa Viļķenes pamatskola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5 985,30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sz w:val="18"/>
                <w:szCs w:val="18"/>
              </w:rPr>
            </w:pPr>
            <w:r w:rsidRPr="00D15C50">
              <w:rPr>
                <w:sz w:val="18"/>
                <w:szCs w:val="18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5 985,30</w:t>
            </w:r>
          </w:p>
        </w:tc>
      </w:tr>
      <w:tr w:rsidR="00D15C50" w:rsidRPr="00D15C50" w:rsidTr="006409B0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C50" w:rsidRPr="00D15C50" w:rsidRDefault="00D15C50" w:rsidP="00D15C50">
            <w:pPr>
              <w:jc w:val="right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Kopā: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143 880,08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C50" w:rsidRPr="00D15C50" w:rsidRDefault="00D15C50" w:rsidP="00D15C50">
            <w:pPr>
              <w:jc w:val="center"/>
              <w:rPr>
                <w:b/>
                <w:bCs/>
                <w:sz w:val="18"/>
                <w:szCs w:val="18"/>
              </w:rPr>
            </w:pPr>
            <w:r w:rsidRPr="00D15C50">
              <w:rPr>
                <w:b/>
                <w:bCs/>
                <w:sz w:val="18"/>
                <w:szCs w:val="18"/>
              </w:rPr>
              <w:t>143 880,08</w:t>
            </w:r>
          </w:p>
        </w:tc>
      </w:tr>
    </w:tbl>
    <w:p w:rsidR="00D15C50" w:rsidRDefault="00D15C50" w:rsidP="00A708AB">
      <w:pPr>
        <w:rPr>
          <w:sz w:val="20"/>
          <w:szCs w:val="20"/>
        </w:rPr>
      </w:pPr>
    </w:p>
    <w:p w:rsidR="00A708AB" w:rsidRPr="00273A3A" w:rsidRDefault="00A708AB" w:rsidP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S.Mitrevica</w:t>
      </w:r>
      <w:proofErr w:type="spellEnd"/>
      <w:r w:rsidRPr="00273A3A">
        <w:rPr>
          <w:sz w:val="20"/>
          <w:szCs w:val="20"/>
        </w:rPr>
        <w:t xml:space="preserve"> – </w:t>
      </w:r>
      <w:proofErr w:type="spellStart"/>
      <w:r w:rsidRPr="00273A3A">
        <w:rPr>
          <w:sz w:val="20"/>
          <w:szCs w:val="20"/>
        </w:rPr>
        <w:t>Galīte</w:t>
      </w:r>
      <w:proofErr w:type="spellEnd"/>
      <w:r w:rsidRPr="00273A3A">
        <w:rPr>
          <w:sz w:val="20"/>
          <w:szCs w:val="20"/>
        </w:rPr>
        <w:t>, 28652956</w:t>
      </w:r>
    </w:p>
    <w:p w:rsidR="00A708AB" w:rsidRPr="00273A3A" w:rsidRDefault="00A708AB" w:rsidP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S.Upīte</w:t>
      </w:r>
      <w:proofErr w:type="spellEnd"/>
      <w:r w:rsidRPr="00273A3A">
        <w:rPr>
          <w:sz w:val="20"/>
          <w:szCs w:val="20"/>
        </w:rPr>
        <w:t>, 26434702</w:t>
      </w:r>
    </w:p>
    <w:p w:rsidR="00E245E4" w:rsidRPr="00A708AB" w:rsidRDefault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S.Rutkovska</w:t>
      </w:r>
      <w:proofErr w:type="spellEnd"/>
      <w:r w:rsidRPr="00273A3A">
        <w:rPr>
          <w:sz w:val="20"/>
          <w:szCs w:val="20"/>
        </w:rPr>
        <w:t>, 26469869</w:t>
      </w:r>
    </w:p>
    <w:sectPr w:rsidR="00E245E4" w:rsidRPr="00A708AB" w:rsidSect="00590166">
      <w:pgSz w:w="16838" w:h="11906" w:orient="landscape" w:code="9"/>
      <w:pgMar w:top="426" w:right="1134" w:bottom="284" w:left="42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B"/>
    <w:rsid w:val="000E4AC1"/>
    <w:rsid w:val="000F0000"/>
    <w:rsid w:val="001E26C6"/>
    <w:rsid w:val="002727A4"/>
    <w:rsid w:val="00372FB6"/>
    <w:rsid w:val="00477113"/>
    <w:rsid w:val="00590166"/>
    <w:rsid w:val="00624862"/>
    <w:rsid w:val="006409B0"/>
    <w:rsid w:val="007059B1"/>
    <w:rsid w:val="00715568"/>
    <w:rsid w:val="007B39E4"/>
    <w:rsid w:val="008516D1"/>
    <w:rsid w:val="00883C04"/>
    <w:rsid w:val="008E5930"/>
    <w:rsid w:val="00930C8D"/>
    <w:rsid w:val="00982492"/>
    <w:rsid w:val="009F719A"/>
    <w:rsid w:val="00A427DC"/>
    <w:rsid w:val="00A708AB"/>
    <w:rsid w:val="00B66F6A"/>
    <w:rsid w:val="00BD06D5"/>
    <w:rsid w:val="00D15C50"/>
    <w:rsid w:val="00E245E4"/>
    <w:rsid w:val="00F4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D55F5-D0F9-45EA-9328-B4289815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66F6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6F6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5935</Words>
  <Characters>3383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Rutkovska</dc:creator>
  <cp:keywords/>
  <dc:description/>
  <cp:lastModifiedBy>Dace Tauriņa</cp:lastModifiedBy>
  <cp:revision>29</cp:revision>
  <cp:lastPrinted>2018-02-07T09:55:00Z</cp:lastPrinted>
  <dcterms:created xsi:type="dcterms:W3CDTF">2018-01-29T16:13:00Z</dcterms:created>
  <dcterms:modified xsi:type="dcterms:W3CDTF">2018-02-07T09:55:00Z</dcterms:modified>
</cp:coreProperties>
</file>