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22" w:rsidRPr="009B3FC3" w:rsidRDefault="000C2D22" w:rsidP="000C2D22">
      <w:pPr>
        <w:ind w:left="6663" w:firstLine="0"/>
        <w:jc w:val="left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2</w:t>
      </w:r>
      <w:r w:rsidRPr="009B3FC3">
        <w:rPr>
          <w:rFonts w:ascii="Times New Roman Bold" w:hAnsi="Times New Roman Bold"/>
          <w:b/>
          <w:caps/>
        </w:rPr>
        <w:t>.pielikums</w:t>
      </w:r>
    </w:p>
    <w:p w:rsidR="000C2D22" w:rsidRPr="009B3FC3" w:rsidRDefault="000C2D22" w:rsidP="000C2D22">
      <w:pPr>
        <w:ind w:left="6663" w:firstLine="0"/>
        <w:jc w:val="left"/>
      </w:pPr>
      <w:r>
        <w:t>28.02.2019</w:t>
      </w:r>
      <w:r w:rsidRPr="009B3FC3">
        <w:t xml:space="preserve">. projektu </w:t>
      </w:r>
    </w:p>
    <w:p w:rsidR="000C2D22" w:rsidRPr="009B3FC3" w:rsidRDefault="000C2D22" w:rsidP="000C2D22">
      <w:pPr>
        <w:ind w:left="6663" w:firstLine="0"/>
        <w:jc w:val="left"/>
      </w:pPr>
      <w:r w:rsidRPr="009B3FC3">
        <w:t>konkursa „Limbažu vēsturiskā centra ēku fasāžu un jumtu renovācija 2019” nolikumam</w:t>
      </w:r>
    </w:p>
    <w:p w:rsidR="000C2D22" w:rsidRPr="009B3FC3" w:rsidRDefault="000C2D22" w:rsidP="000C2D22">
      <w:pPr>
        <w:tabs>
          <w:tab w:val="left" w:pos="5245"/>
        </w:tabs>
        <w:ind w:firstLine="0"/>
        <w:jc w:val="left"/>
      </w:pPr>
    </w:p>
    <w:p w:rsidR="000C2D22" w:rsidRPr="009B3FC3" w:rsidRDefault="000C2D22" w:rsidP="000C2D22">
      <w:pPr>
        <w:ind w:firstLine="851"/>
        <w:jc w:val="center"/>
        <w:rPr>
          <w:b/>
          <w:bCs/>
        </w:rPr>
      </w:pPr>
      <w:r w:rsidRPr="009B3FC3">
        <w:rPr>
          <w:b/>
          <w:bCs/>
        </w:rPr>
        <w:t xml:space="preserve">LIMBAŽU PILSĒTAS VĒSTURISKĀ CENTRA ĒKU </w:t>
      </w:r>
    </w:p>
    <w:p w:rsidR="000C2D22" w:rsidRPr="009B3FC3" w:rsidRDefault="000C2D22" w:rsidP="000C2D22">
      <w:pPr>
        <w:ind w:firstLine="851"/>
        <w:jc w:val="center"/>
        <w:rPr>
          <w:b/>
          <w:bCs/>
        </w:rPr>
      </w:pPr>
      <w:r w:rsidRPr="009B3FC3">
        <w:rPr>
          <w:b/>
          <w:bCs/>
        </w:rPr>
        <w:t xml:space="preserve">FASĀŽU, JUMTU UN ARHITEKTONISKO DETAĻU SAGLABĀŠANAS </w:t>
      </w:r>
    </w:p>
    <w:p w:rsidR="000C2D22" w:rsidRPr="009B3FC3" w:rsidRDefault="000C2D22" w:rsidP="000C2D22">
      <w:pPr>
        <w:ind w:firstLine="851"/>
        <w:jc w:val="center"/>
        <w:rPr>
          <w:b/>
          <w:bCs/>
        </w:rPr>
      </w:pPr>
      <w:r w:rsidRPr="009B3FC3">
        <w:rPr>
          <w:b/>
          <w:bCs/>
        </w:rPr>
        <w:t>UN ATJAUNOŠANAS KĀRTĪBA</w:t>
      </w:r>
    </w:p>
    <w:p w:rsidR="000C2D22" w:rsidRPr="009B3FC3" w:rsidRDefault="000C2D22" w:rsidP="000C2D22">
      <w:pPr>
        <w:ind w:firstLine="851"/>
        <w:jc w:val="center"/>
      </w:pPr>
    </w:p>
    <w:p w:rsidR="000C2D22" w:rsidRPr="009B3FC3" w:rsidRDefault="000C2D22" w:rsidP="000C2D22">
      <w:pPr>
        <w:ind w:firstLine="0"/>
        <w:jc w:val="left"/>
        <w:rPr>
          <w:b/>
          <w:bCs/>
        </w:rPr>
      </w:pPr>
      <w:r w:rsidRPr="009B3FC3">
        <w:rPr>
          <w:b/>
          <w:bCs/>
        </w:rPr>
        <w:t>Ārsienas, fasādes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Ēkas fasāžu krāsojuma atjaunošanas gadījumā tiek pielietoti šādi kritēriji:</w:t>
      </w:r>
    </w:p>
    <w:p w:rsidR="000C2D22" w:rsidRPr="009B3FC3" w:rsidRDefault="000C2D22" w:rsidP="000C2D22">
      <w:pPr>
        <w:numPr>
          <w:ilvl w:val="1"/>
          <w:numId w:val="1"/>
        </w:numPr>
        <w:ind w:left="1134" w:hanging="567"/>
        <w:contextualSpacing/>
        <w:jc w:val="left"/>
      </w:pPr>
      <w:r w:rsidRPr="009B3FC3">
        <w:t>Ēkas būvniecības laiks (piederība konkrētam stilam);</w:t>
      </w:r>
    </w:p>
    <w:p w:rsidR="000C2D22" w:rsidRPr="009B3FC3" w:rsidRDefault="000C2D22" w:rsidP="000C2D22">
      <w:pPr>
        <w:numPr>
          <w:ilvl w:val="1"/>
          <w:numId w:val="1"/>
        </w:numPr>
        <w:ind w:left="1134" w:hanging="567"/>
        <w:contextualSpacing/>
        <w:jc w:val="left"/>
      </w:pPr>
      <w:r w:rsidRPr="009B3FC3">
        <w:t>Ēkas sākotnējā apšuvuma apdares tonis;</w:t>
      </w:r>
    </w:p>
    <w:p w:rsidR="000C2D22" w:rsidRPr="009B3FC3" w:rsidRDefault="000C2D22" w:rsidP="000C2D22">
      <w:pPr>
        <w:numPr>
          <w:ilvl w:val="1"/>
          <w:numId w:val="1"/>
        </w:numPr>
        <w:ind w:left="1134" w:hanging="567"/>
        <w:contextualSpacing/>
        <w:jc w:val="left"/>
      </w:pPr>
      <w:r w:rsidRPr="009B3FC3">
        <w:t>Oriģināldetaļu – dzegas, logi, durvis, īpatsvars;</w:t>
      </w:r>
    </w:p>
    <w:p w:rsidR="000C2D22" w:rsidRPr="009B3FC3" w:rsidRDefault="000C2D22" w:rsidP="000C2D22">
      <w:pPr>
        <w:numPr>
          <w:ilvl w:val="1"/>
          <w:numId w:val="1"/>
        </w:numPr>
        <w:ind w:left="1134" w:hanging="567"/>
        <w:contextualSpacing/>
        <w:jc w:val="left"/>
      </w:pPr>
      <w:r w:rsidRPr="009B3FC3">
        <w:t>Ēkas sākotnējās apdares savdabība;</w:t>
      </w:r>
    </w:p>
    <w:p w:rsidR="000C2D22" w:rsidRPr="009B3FC3" w:rsidRDefault="000C2D22" w:rsidP="000C2D22">
      <w:pPr>
        <w:numPr>
          <w:ilvl w:val="1"/>
          <w:numId w:val="1"/>
        </w:numPr>
        <w:ind w:left="1134" w:hanging="567"/>
        <w:contextualSpacing/>
        <w:jc w:val="left"/>
      </w:pPr>
      <w:r w:rsidRPr="009B3FC3">
        <w:t>Ielas kopējā krāsu palete;</w:t>
      </w:r>
    </w:p>
    <w:p w:rsidR="000C2D22" w:rsidRPr="009B3FC3" w:rsidRDefault="000C2D22" w:rsidP="000C2D22">
      <w:pPr>
        <w:numPr>
          <w:ilvl w:val="1"/>
          <w:numId w:val="1"/>
        </w:numPr>
        <w:ind w:left="1134" w:hanging="567"/>
        <w:contextualSpacing/>
        <w:jc w:val="left"/>
      </w:pPr>
      <w:r w:rsidRPr="009B3FC3">
        <w:t>Ēkas novietojums pilsētvidē.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Pirms fasādes pārkrāsošanas obligāta sākotnējās apdares fiksācija un krāsu pases izstrādāšana.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Apšuvuma dēļu erodējošais krāsojums tīrāms mehāniski, ar metāla birstēm vai augstspiediena ūdens sprauslu. Aizliegta krāsu slāņu noņemšana ar tehnisko fēnu.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Koka apšuvums krāsojams ar tradicionālo lineļļas sastāvu/krāsām (lineļļas beicēm), t.s. zviedru jeb miltu krāsām vai arī fasādes krāsām ar lineļļas piedevu.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Aizliegta moderno – akrila krāsu pielietošana (tās ir neatgriezeniskas, nomāc šķiedru rakstu, ir slikta iesūkšanās spēja, neelpo).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Bojātos apdares dēļus nomainīt ar līdzīga platuma, biezuma un profilējuma dēļiem. Vēlams lietot materiālus ar līdzīgiem parametriem no demontētiem objektiem.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Aizliegta jebkāda plastikāta materiāla (apšuvums utt.) pielietošana.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Fasādes apmetuma labojumiem izmantot kaļķi saturošu javu. Laboto virsmu faktūru maksimāli pieskaņot oriģinālajai apdarei.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Apmesto virsmu krāsošanai izmantot pēc tradicionālās vai mūsdienu tehnoloģijas izgatavotās kaļķu krāsas. Pieļaujama arī silikātkrāsu pielietošana 19.gs. II pusē – 20.gs. sākuma ēkām.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Aizliegts demontēt vai aizsegt oriģinālās apdares detaļas, kā arī izgatavot to vienkāršotas kopijas.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Aizliegts ēkas siltināt no ārpuses.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Izņēmuma gadījumos apdares detaļas jāpārvieto uz rekonstruētā apšuvumu.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Aizliegta elektrības un sakaru vadu, kabeļu izvietošana uz ēku fasādēm.</w:t>
      </w:r>
    </w:p>
    <w:p w:rsidR="000C2D22" w:rsidRPr="009B3FC3" w:rsidRDefault="000C2D22" w:rsidP="000C2D22">
      <w:pPr>
        <w:ind w:left="567" w:hanging="567"/>
        <w:contextualSpacing/>
      </w:pPr>
    </w:p>
    <w:p w:rsidR="000C2D22" w:rsidRPr="009B3FC3" w:rsidRDefault="000C2D22" w:rsidP="000C2D22">
      <w:pPr>
        <w:ind w:left="567" w:hanging="567"/>
        <w:contextualSpacing/>
        <w:rPr>
          <w:b/>
          <w:bCs/>
        </w:rPr>
      </w:pPr>
      <w:r w:rsidRPr="009B3FC3">
        <w:rPr>
          <w:b/>
          <w:bCs/>
        </w:rPr>
        <w:t>Jumts un jumta izbūves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Ēku jumta ieklājumam izmantojami:</w:t>
      </w:r>
    </w:p>
    <w:p w:rsidR="000C2D22" w:rsidRPr="009B3FC3" w:rsidRDefault="000C2D22" w:rsidP="000C2D22">
      <w:pPr>
        <w:ind w:left="567" w:firstLine="0"/>
        <w:contextualSpacing/>
      </w:pPr>
      <w:r w:rsidRPr="009B3FC3">
        <w:t>„S” veida jeb holandiešu tipa māla dakstiņi sarkanos toņos, krāsots cinkotais skārds, nekrāsots cinkotais skārds, lielviļņa bezasbesta plākšņu segums.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Aizliegts jumta ieklājumam izmantot skārda loksnes ar dakstiņu un citu materiālu imitāciju. Pieļaujams tāds skārda segums, kas ir ar vēsturisku lokšņu veidu savienojuma imitāciju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Jumta metāla seguma krāsojumam izvēlēties toņus, kas tradicionāli veidoti no neorganiskiem pigmentiem – sarkans, brūns, atkarībā no konteksta un ēkas arhitektūras pieļaujams – zaļš.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lastRenderedPageBreak/>
        <w:t>Sakaru antenas uz jumta novietot tā, lai pēc iespējas mazāk būtu redzamas no ielas.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Oriģinālos dūmeņus atļauts nojaukt tikai avārijas situācijā, pirms tam veicot to foto fiksāciju. Tie atjaunojami vēsturiskajā izskatā un materiālā.</w:t>
      </w:r>
    </w:p>
    <w:p w:rsidR="000C2D22" w:rsidRPr="009B3FC3" w:rsidRDefault="000C2D22" w:rsidP="000C2D22">
      <w:pPr>
        <w:ind w:left="567" w:hanging="567"/>
        <w:contextualSpacing/>
      </w:pPr>
    </w:p>
    <w:p w:rsidR="000C2D22" w:rsidRPr="009B3FC3" w:rsidRDefault="000C2D22" w:rsidP="000C2D22">
      <w:pPr>
        <w:ind w:left="567" w:hanging="567"/>
        <w:contextualSpacing/>
        <w:rPr>
          <w:b/>
          <w:bCs/>
        </w:rPr>
      </w:pPr>
      <w:r w:rsidRPr="009B3FC3">
        <w:rPr>
          <w:b/>
          <w:bCs/>
        </w:rPr>
        <w:t xml:space="preserve">Durvis, vārti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Durvju vērtņu nomaiņa – rekonstrukcija pieļaujama, ja konstrukciju bojājums pārsniedz 40%.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Pirms oriģinālo durvju nomaiņas obligāta krāsojuma fiksācija.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Rekonstruētajām durvīm, izņemot ozolkoka, nav vēlama lazējošu materiālu (antiseptiķu) pielietošana.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Ieejas durvju remontam izmantot divkomponentu špakteles vai lineļļas ķiti.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Pirms krāsošanas darbiem obligāta sākotnējās apdares fiksācija un krāsu pases izstrādāšana.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Durvju vērtnes krāsojamas ar tradicionālajām lineļļas krāsām (lineļļas beicēm) vai arī ar krāsām ar lineļļas piedevu.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Aizliegta akrila krāsu pielietošana jo tās ir neatgriezeniskas, nomāc šķiedru rakstu, ir slikta iesūkšanās spēja, saķere ar virsmu.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Vērtņu maiņas gadījuma ielas fasādē aizliegts pielietot plastikāta un metāla durvis.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Vārtus vēlams atjaunot vēsturiskā izskatā, izmantojot kokmateriālus. Vārti ierīkojami tā, lai atvērtā veidā netraucētu gājēju kustību.</w:t>
      </w:r>
    </w:p>
    <w:p w:rsidR="000C2D22" w:rsidRPr="009B3FC3" w:rsidRDefault="000C2D22" w:rsidP="000C2D22">
      <w:pPr>
        <w:ind w:left="720" w:firstLine="0"/>
        <w:contextualSpacing/>
      </w:pPr>
    </w:p>
    <w:p w:rsidR="000C2D22" w:rsidRPr="009B3FC3" w:rsidRDefault="000C2D22" w:rsidP="000C2D22">
      <w:pPr>
        <w:ind w:left="567" w:hanging="567"/>
        <w:contextualSpacing/>
        <w:jc w:val="left"/>
        <w:rPr>
          <w:b/>
          <w:bCs/>
        </w:rPr>
      </w:pPr>
      <w:r w:rsidRPr="009B3FC3">
        <w:rPr>
          <w:b/>
          <w:bCs/>
        </w:rPr>
        <w:t>Logi, skatlogi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Loga vērtņu nomaiņa – rekonstrukcija pieļaujama, ja bojājums pārsniedz 30%.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Rekonstruējot logus, tos jāatjauno vēsturiskās formās vai atbilstošus ēkas fasādes kompozīcijai.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Atjaunojot vai rekonstruējot logus nepieciešama krāsu pases izstrāde.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Oriģinālā krāsojuma noņemšanas gadījumā veikt tā fiksāciju</w:t>
      </w:r>
      <w:r w:rsidRPr="009B3FC3">
        <w:rPr>
          <w:i/>
          <w:iCs/>
        </w:rPr>
        <w:t>.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rPr>
          <w:iCs/>
        </w:rPr>
        <w:t>Galvenajā fasādē a</w:t>
      </w:r>
      <w:r w:rsidRPr="009B3FC3">
        <w:t>izliegti plastikāta un metāla logi.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Aizliegta skatloga stiklotās daļas izbūve līdz ielas līmenim, demontējot cokolu.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Aizliegta ēku logu aiļu palielināšana skatlogu vajadzībām.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Ēkām, kurām logu ailes deformētas jaunāka perioda pārbūvēs, paredzēts atjaunot sākotnējo situāciju.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Skatlogu stikla virsmas, kuras ir augstākas par 1,6 m, pārdala ar horizontālu šķērsi vērtnes augšējā trešdaļā.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Nav vēlama durvju aiļu izbūve pirmā stāva logu aiļu vietā. </w:t>
      </w:r>
    </w:p>
    <w:p w:rsidR="000C2D22" w:rsidRPr="009B3FC3" w:rsidRDefault="000C2D22" w:rsidP="000C2D22">
      <w:pPr>
        <w:ind w:left="567" w:hanging="567"/>
        <w:contextualSpacing/>
      </w:pPr>
    </w:p>
    <w:p w:rsidR="000C2D22" w:rsidRPr="009B3FC3" w:rsidRDefault="000C2D22" w:rsidP="000C2D22">
      <w:pPr>
        <w:ind w:left="567" w:hanging="567"/>
        <w:contextualSpacing/>
        <w:rPr>
          <w:b/>
          <w:bCs/>
        </w:rPr>
      </w:pPr>
      <w:r w:rsidRPr="009B3FC3">
        <w:rPr>
          <w:b/>
          <w:bCs/>
        </w:rPr>
        <w:t>Papildus detaļas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Aizliegtas plastikāta lietus ūdens notekcaurules.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Nomainot bojātās notekrenes un notekcaurules vēlams uzstādīt oriģinālajiem elementiem atbilstoša rādiusa skārda notekrenes un caurules.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 xml:space="preserve">Lietus ūdeņu tekņu aizsargrežģi izgatavojami no metāla vai dēļiem, atbilstoši ēkas stilam vai izmantojot vecpilsētas apbūvē izmantotajiem analogiem. 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Vēlams ēkām atjaunot koka slēģus, izmantojot vecpilsētas apbūvē sastopamos analogus vai pēc ikonogrāfiskā materiāla.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Veikalu skatlogu marķīzēm vēlams izmantot tekstilmateriālu, tām jābūt salokāmām. Marķīzu krāsu saskaņot ar fasādes krāsojumu. Aizliegts izmantot plastikāta marķīzes.</w:t>
      </w:r>
    </w:p>
    <w:p w:rsidR="000C2D22" w:rsidRPr="009B3FC3" w:rsidRDefault="000C2D22" w:rsidP="000C2D22">
      <w:pPr>
        <w:numPr>
          <w:ilvl w:val="0"/>
          <w:numId w:val="1"/>
        </w:numPr>
        <w:ind w:left="567" w:hanging="567"/>
        <w:contextualSpacing/>
        <w:jc w:val="left"/>
      </w:pPr>
      <w:r w:rsidRPr="009B3FC3">
        <w:t>Ietvju seguma atjaunošanai jāizmanto klinkerķieģeļi, betona bruģakmeņi un dabīgie akmeņi, to rakstu saskaņojot ar iepriekš ieklātajiem posmiem, kas balstīti uz vēsturiskajiem analogiem.</w:t>
      </w:r>
    </w:p>
    <w:p w:rsidR="000C2D22" w:rsidRPr="009B3FC3" w:rsidRDefault="000C2D22" w:rsidP="000C2D22">
      <w:pPr>
        <w:ind w:firstLine="0"/>
        <w:rPr>
          <w:b/>
          <w:lang w:bidi="lo-LA"/>
        </w:rPr>
      </w:pPr>
    </w:p>
    <w:p w:rsidR="00C800F1" w:rsidRDefault="00C800F1">
      <w:bookmarkStart w:id="0" w:name="_GoBack"/>
      <w:bookmarkEnd w:id="0"/>
    </w:p>
    <w:sectPr w:rsidR="00C800F1" w:rsidSect="000C2D22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D5C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70"/>
    <w:rsid w:val="000C2D22"/>
    <w:rsid w:val="008E6370"/>
    <w:rsid w:val="00C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C2D2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C2D2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3347</Words>
  <Characters>1909</Characters>
  <Application>Microsoft Office Word</Application>
  <DocSecurity>0</DocSecurity>
  <Lines>15</Lines>
  <Paragraphs>10</Paragraphs>
  <ScaleCrop>false</ScaleCrop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Aija</cp:lastModifiedBy>
  <cp:revision>2</cp:revision>
  <dcterms:created xsi:type="dcterms:W3CDTF">2019-03-04T20:27:00Z</dcterms:created>
  <dcterms:modified xsi:type="dcterms:W3CDTF">2019-03-04T20:27:00Z</dcterms:modified>
</cp:coreProperties>
</file>